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91" w:rsidRDefault="00C052FD" w:rsidP="00D542F9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常宁市文化遗产事务中心</w:t>
      </w:r>
      <w:r w:rsidR="00D542F9" w:rsidRPr="00D542F9">
        <w:rPr>
          <w:rFonts w:asciiTheme="minorEastAsia" w:eastAsiaTheme="minorEastAsia" w:hAnsiTheme="minorEastAsia" w:hint="eastAsia"/>
          <w:sz w:val="44"/>
          <w:szCs w:val="44"/>
        </w:rPr>
        <w:t>整体支出</w:t>
      </w:r>
    </w:p>
    <w:p w:rsidR="00D542F9" w:rsidRPr="00D542F9" w:rsidRDefault="00D542F9" w:rsidP="00D542F9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D542F9">
        <w:rPr>
          <w:rFonts w:asciiTheme="minorEastAsia" w:eastAsiaTheme="minorEastAsia" w:hAnsiTheme="minorEastAsia" w:hint="eastAsia"/>
          <w:sz w:val="44"/>
          <w:szCs w:val="44"/>
        </w:rPr>
        <w:t>绩效评价报告</w:t>
      </w:r>
    </w:p>
    <w:p w:rsidR="00D542F9" w:rsidRPr="00D542F9" w:rsidRDefault="00D542F9" w:rsidP="00D542F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D542F9" w:rsidRPr="00D542F9" w:rsidRDefault="00D542F9" w:rsidP="00D542F9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D542F9">
        <w:rPr>
          <w:rFonts w:asciiTheme="minorEastAsia" w:hAnsiTheme="minorEastAsia"/>
          <w:sz w:val="30"/>
          <w:szCs w:val="30"/>
        </w:rPr>
        <w:t xml:space="preserve"> </w:t>
      </w:r>
      <w:r w:rsidRPr="00D542F9">
        <w:rPr>
          <w:rFonts w:asciiTheme="minorEastAsia" w:hAnsiTheme="minorEastAsia" w:hint="eastAsia"/>
          <w:sz w:val="30"/>
          <w:szCs w:val="30"/>
        </w:rPr>
        <w:t>项目单位基本情况</w:t>
      </w:r>
    </w:p>
    <w:p w:rsidR="00C052FD" w:rsidRPr="00C052FD" w:rsidRDefault="00A96749" w:rsidP="00C052FD">
      <w:pPr>
        <w:spacing w:line="384" w:lineRule="atLeast"/>
        <w:ind w:firstLineChars="250" w:firstLine="750"/>
        <w:rPr>
          <w:rFonts w:asciiTheme="minorEastAsia" w:eastAsiaTheme="minorEastAsia" w:hAnsiTheme="minorEastAsia" w:cs="仿宋_GB2312"/>
          <w:color w:val="383838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（一）</w:t>
      </w:r>
      <w:r w:rsidR="00D542F9" w:rsidRPr="00D542F9">
        <w:rPr>
          <w:rFonts w:asciiTheme="minorEastAsia" w:eastAsiaTheme="minorEastAsia" w:hAnsiTheme="minorEastAsia" w:hint="eastAsia"/>
          <w:sz w:val="30"/>
          <w:szCs w:val="30"/>
        </w:rPr>
        <w:t>主要职能：</w:t>
      </w:r>
      <w:r w:rsidR="00C052FD" w:rsidRPr="00C052F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1.贯彻落实国家、省、市有关文物保护法律、法规，制定全市文物保护具体办法。</w:t>
      </w:r>
    </w:p>
    <w:p w:rsidR="00C052FD" w:rsidRPr="00C052FD" w:rsidRDefault="00C052FD" w:rsidP="00C052FD">
      <w:pPr>
        <w:ind w:firstLineChars="250" w:firstLine="70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C052F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2.审核、申报市（县级）重点文物保护单位；推荐、申报全国、全省、衡阳市重点文物保护单位；会同有关部门申报历史文化名城、名镇、名村和世界文化遗产及传统村落。</w:t>
      </w:r>
    </w:p>
    <w:p w:rsidR="00C052FD" w:rsidRPr="00C052FD" w:rsidRDefault="00C052FD" w:rsidP="00C052FD">
      <w:pPr>
        <w:ind w:firstLineChars="250" w:firstLine="70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C052F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3.管理、协调和指导全市文物保护、发掘、宣传、研究、出境等业务工作。依照有关法律、法规，申报重点文物发掘、保护、维修项目；组织、指导重点文物保护工程方案论证、设计、施工、质量监督及验收。</w:t>
      </w:r>
    </w:p>
    <w:p w:rsidR="00C052FD" w:rsidRPr="00C052FD" w:rsidRDefault="00C052FD" w:rsidP="00C052FD">
      <w:pPr>
        <w:ind w:firstLineChars="250" w:firstLine="70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C052F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4.会同有关部门审批或申报文物保护单位维修、迁移、拆除、古建筑维修设计及施工队伍资质；管理和监督全市文物勘测设计、施工、调查、勘探、考古发掘。</w:t>
      </w:r>
    </w:p>
    <w:p w:rsidR="00C052FD" w:rsidRPr="00C052FD" w:rsidRDefault="00C052FD" w:rsidP="00C052FD">
      <w:pPr>
        <w:ind w:firstLineChars="250" w:firstLine="70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C052F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5.制定并组织实施全市文物保护、博物馆事业发展规划、计划以及重大工程项目建设；负责全市博物馆、纪念馆、陈列馆建设与管理；负责文物库房管理。</w:t>
      </w:r>
    </w:p>
    <w:p w:rsidR="00C052FD" w:rsidRPr="00C052FD" w:rsidRDefault="00C052FD" w:rsidP="00C052FD">
      <w:pPr>
        <w:ind w:firstLineChars="250" w:firstLine="70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C052F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6.负责全市文物行政执法监督；对查处盗窃、破坏、走私文物案件提出文物方面专业性意见；对社会文物进行宏观管理；督促、检查、指导、协调全市文物安全保卫和消防、技防工作。</w:t>
      </w:r>
    </w:p>
    <w:p w:rsidR="00C052FD" w:rsidRPr="00C052FD" w:rsidRDefault="00C052FD" w:rsidP="00C052FD">
      <w:pPr>
        <w:ind w:firstLineChars="250" w:firstLine="70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C052F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7.编制文物事业经费预算；负责市境内文物普查、研究、整理、建档和保管工作。</w:t>
      </w:r>
    </w:p>
    <w:p w:rsidR="00D542F9" w:rsidRPr="00C052FD" w:rsidRDefault="00C052FD" w:rsidP="00C052FD">
      <w:pPr>
        <w:ind w:firstLineChars="250" w:firstLine="70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C052F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8.承担市委、市政府交办的其他事项。</w:t>
      </w:r>
    </w:p>
    <w:p w:rsidR="00D542F9" w:rsidRPr="00C052FD" w:rsidRDefault="00C052FD" w:rsidP="00C052F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预算单位构成：根据上述职能，市文化遗产事物中心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设</w:t>
      </w:r>
      <w:r w:rsidR="00D542F9" w:rsidRPr="00C052FD">
        <w:rPr>
          <w:rFonts w:asciiTheme="minorEastAsia" w:eastAsiaTheme="minorEastAsia" w:hAnsiTheme="minorEastAsia"/>
          <w:sz w:val="28"/>
          <w:szCs w:val="28"/>
        </w:rPr>
        <w:t>1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办、</w:t>
      </w: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股，</w:t>
      </w:r>
      <w:r w:rsidR="00540F60">
        <w:rPr>
          <w:rFonts w:asciiTheme="minorEastAsia" w:eastAsiaTheme="minorEastAsia" w:hAnsiTheme="minorEastAsia" w:hint="eastAsia"/>
          <w:sz w:val="28"/>
          <w:szCs w:val="28"/>
        </w:rPr>
        <w:t>文化遗产事务中心公会委员会，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下设水口山工人运动陈列馆。</w:t>
      </w:r>
    </w:p>
    <w:p w:rsidR="00D542F9" w:rsidRPr="00C052FD" w:rsidRDefault="00A96749" w:rsidP="00C052F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</w:t>
      </w:r>
      <w:r w:rsidR="00C052FD">
        <w:rPr>
          <w:rFonts w:asciiTheme="minorEastAsia" w:eastAsiaTheme="minorEastAsia" w:hAnsiTheme="minorEastAsia" w:hint="eastAsia"/>
          <w:sz w:val="28"/>
          <w:szCs w:val="28"/>
        </w:rPr>
        <w:t>二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、日常公用经费</w:t>
      </w:r>
      <w:r w:rsidR="00C052FD">
        <w:rPr>
          <w:rFonts w:asciiTheme="minorEastAsia" w:eastAsiaTheme="minorEastAsia" w:hAnsiTheme="minorEastAsia"/>
          <w:sz w:val="28"/>
          <w:szCs w:val="28"/>
        </w:rPr>
        <w:t>1</w:t>
      </w:r>
      <w:r w:rsidR="00C052FD">
        <w:rPr>
          <w:rFonts w:asciiTheme="minorEastAsia" w:eastAsiaTheme="minorEastAsia" w:hAnsiTheme="minorEastAsia" w:hint="eastAsia"/>
          <w:sz w:val="28"/>
          <w:szCs w:val="28"/>
        </w:rPr>
        <w:t>15.7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万元，是保障机构正常运转，完成日常工作任务而发生的各项支出，包括</w:t>
      </w:r>
      <w:r w:rsidR="00C052FD">
        <w:rPr>
          <w:rFonts w:asciiTheme="minorEastAsia" w:eastAsiaTheme="minorEastAsia" w:hAnsiTheme="minorEastAsia" w:hint="eastAsia"/>
          <w:sz w:val="28"/>
          <w:szCs w:val="28"/>
        </w:rPr>
        <w:t>人员工资福利支出、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办公费、印刷费、水电费、办公设备购置、差旅费、劳务费、维护费等。</w:t>
      </w:r>
    </w:p>
    <w:p w:rsidR="00D542F9" w:rsidRPr="00C052FD" w:rsidRDefault="00A96749" w:rsidP="00C052F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C052FD"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、项目经费</w:t>
      </w:r>
      <w:r w:rsidR="00DA06B7">
        <w:rPr>
          <w:rFonts w:asciiTheme="minorEastAsia" w:eastAsiaTheme="minorEastAsia" w:hAnsiTheme="minorEastAsia" w:hint="eastAsia"/>
          <w:sz w:val="28"/>
          <w:szCs w:val="28"/>
        </w:rPr>
        <w:t>912.74</w:t>
      </w:r>
      <w:r w:rsidR="00D108EF">
        <w:rPr>
          <w:rFonts w:asciiTheme="minorEastAsia" w:eastAsiaTheme="minorEastAsia" w:hAnsiTheme="minorEastAsia" w:hint="eastAsia"/>
          <w:sz w:val="28"/>
          <w:szCs w:val="28"/>
        </w:rPr>
        <w:t>万元，萧石月故居修缮及一体化设计支付291万元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。水口山第三冶炼厂烧结车间康汉柳饭店旧址维修第一次付款</w:t>
      </w:r>
      <w:r w:rsidR="004E554C">
        <w:rPr>
          <w:rFonts w:asciiTheme="minorEastAsia" w:eastAsiaTheme="minorEastAsia" w:hAnsiTheme="minorEastAsia" w:hint="eastAsia"/>
          <w:sz w:val="28"/>
          <w:szCs w:val="28"/>
        </w:rPr>
        <w:t>191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万元</w:t>
      </w:r>
      <w:r w:rsidR="00D542F9" w:rsidRPr="00C052F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新塘下罗家古建筑群抢修</w:t>
      </w:r>
      <w:r w:rsidR="00D108EF">
        <w:rPr>
          <w:rFonts w:asciiTheme="minorEastAsia" w:eastAsiaTheme="minorEastAsia" w:hAnsiTheme="minorEastAsia" w:hint="eastAsia"/>
          <w:sz w:val="28"/>
          <w:szCs w:val="28"/>
        </w:rPr>
        <w:t>30万。</w:t>
      </w:r>
      <w:r w:rsidR="007603EA">
        <w:rPr>
          <w:rFonts w:asciiTheme="minorEastAsia" w:eastAsiaTheme="minorEastAsia" w:hAnsiTheme="minorEastAsia" w:hint="eastAsia"/>
          <w:sz w:val="28"/>
          <w:szCs w:val="28"/>
        </w:rPr>
        <w:t>萧石月故居和水口山纪念园文物征集费39万元。</w:t>
      </w:r>
      <w:r w:rsidR="0058418C">
        <w:rPr>
          <w:rFonts w:asciiTheme="minorEastAsia" w:eastAsiaTheme="minorEastAsia" w:hAnsiTheme="minorEastAsia" w:hint="eastAsia"/>
          <w:sz w:val="28"/>
          <w:szCs w:val="28"/>
        </w:rPr>
        <w:t>萧石月故居修缮费158万元，水口山纪念园设计费79万元，字库塔维修18</w:t>
      </w:r>
      <w:r w:rsidR="006B6FE7">
        <w:rPr>
          <w:rFonts w:asciiTheme="minorEastAsia" w:eastAsiaTheme="minorEastAsia" w:hAnsiTheme="minorEastAsia" w:hint="eastAsia"/>
          <w:sz w:val="28"/>
          <w:szCs w:val="28"/>
        </w:rPr>
        <w:t>万元，中田村二期消防56</w:t>
      </w:r>
      <w:r w:rsidR="0058418C">
        <w:rPr>
          <w:rFonts w:asciiTheme="minorEastAsia" w:eastAsiaTheme="minorEastAsia" w:hAnsiTheme="minorEastAsia" w:hint="eastAsia"/>
          <w:sz w:val="28"/>
          <w:szCs w:val="28"/>
        </w:rPr>
        <w:t>万元，刘氏大屋质保金18</w:t>
      </w:r>
      <w:r w:rsidR="006B6FE7">
        <w:rPr>
          <w:rFonts w:asciiTheme="minorEastAsia" w:eastAsiaTheme="minorEastAsia" w:hAnsiTheme="minorEastAsia" w:hint="eastAsia"/>
          <w:sz w:val="28"/>
          <w:szCs w:val="28"/>
        </w:rPr>
        <w:t>万元，馆藏纸质文物修复第32.7万元三次付款</w:t>
      </w:r>
      <w:r w:rsidR="0058418C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项目资金按照合同约定进度和额度支出，做到支出进度和范围与项目计划一致，同</w:t>
      </w:r>
      <w:r>
        <w:rPr>
          <w:rFonts w:asciiTheme="minorEastAsia" w:eastAsiaTheme="minorEastAsia" w:hAnsiTheme="minorEastAsia" w:hint="eastAsia"/>
          <w:sz w:val="28"/>
          <w:szCs w:val="28"/>
        </w:rPr>
        <w:t>时，做到专款专用，没有违规情况。在项目资金管理上是由常宁市文化遗产事务中心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财务负责总管</w:t>
      </w:r>
      <w:r>
        <w:rPr>
          <w:rFonts w:asciiTheme="minorEastAsia" w:eastAsiaTheme="minorEastAsia" w:hAnsiTheme="minorEastAsia" w:hint="eastAsia"/>
          <w:sz w:val="28"/>
          <w:szCs w:val="28"/>
        </w:rPr>
        <w:t>，常宁市财政局负责监管。</w:t>
      </w:r>
    </w:p>
    <w:p w:rsidR="00D542F9" w:rsidRPr="00C052FD" w:rsidRDefault="00D542F9" w:rsidP="00C052FD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C052FD">
        <w:rPr>
          <w:rFonts w:asciiTheme="minorEastAsia" w:eastAsiaTheme="minorEastAsia" w:hAnsiTheme="minorEastAsia" w:hint="eastAsia"/>
          <w:sz w:val="28"/>
          <w:szCs w:val="28"/>
        </w:rPr>
        <w:t>二、绩效评价工作情况</w:t>
      </w:r>
    </w:p>
    <w:p w:rsidR="00D542F9" w:rsidRPr="00C052FD" w:rsidRDefault="00D542F9" w:rsidP="00C052F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052FD">
        <w:rPr>
          <w:rFonts w:asciiTheme="minorEastAsia" w:eastAsiaTheme="minorEastAsia" w:hAnsiTheme="minorEastAsia"/>
          <w:sz w:val="28"/>
          <w:szCs w:val="28"/>
        </w:rPr>
        <w:t>1</w:t>
      </w:r>
      <w:r w:rsidRPr="00C052F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55F57">
        <w:rPr>
          <w:rFonts w:asciiTheme="minorEastAsia" w:eastAsiaTheme="minorEastAsia" w:hAnsiTheme="minorEastAsia"/>
          <w:sz w:val="28"/>
          <w:szCs w:val="28"/>
        </w:rPr>
        <w:t>20</w:t>
      </w:r>
      <w:r w:rsidR="00555F57">
        <w:rPr>
          <w:rFonts w:asciiTheme="minorEastAsia" w:eastAsiaTheme="minorEastAsia" w:hAnsiTheme="minorEastAsia" w:hint="eastAsia"/>
          <w:sz w:val="28"/>
          <w:szCs w:val="28"/>
        </w:rPr>
        <w:t>20年度文化遗产事务中心</w:t>
      </w:r>
      <w:r w:rsidRPr="00C052FD">
        <w:rPr>
          <w:rFonts w:asciiTheme="minorEastAsia" w:eastAsiaTheme="minorEastAsia" w:hAnsiTheme="minorEastAsia" w:hint="eastAsia"/>
          <w:sz w:val="28"/>
          <w:szCs w:val="28"/>
        </w:rPr>
        <w:t>预算支出绩效评价按照真实、公正的要求反映出支出和产出绩效之间的紧密关系，对支出的效率性和效益性进行客观评价。</w:t>
      </w:r>
    </w:p>
    <w:p w:rsidR="00D542F9" w:rsidRPr="00C052FD" w:rsidRDefault="00D542F9" w:rsidP="00C052F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052FD">
        <w:rPr>
          <w:rFonts w:asciiTheme="minorEastAsia" w:eastAsiaTheme="minorEastAsia" w:hAnsiTheme="minorEastAsia"/>
          <w:sz w:val="28"/>
          <w:szCs w:val="28"/>
        </w:rPr>
        <w:t>2</w:t>
      </w:r>
      <w:r w:rsidRPr="00C052FD">
        <w:rPr>
          <w:rFonts w:asciiTheme="minorEastAsia" w:eastAsiaTheme="minorEastAsia" w:hAnsiTheme="minorEastAsia" w:hint="eastAsia"/>
          <w:sz w:val="28"/>
          <w:szCs w:val="28"/>
        </w:rPr>
        <w:t>、绩效评价工作得到了我局领导的高度</w:t>
      </w:r>
      <w:r w:rsidR="00C16F0F">
        <w:rPr>
          <w:rFonts w:asciiTheme="minorEastAsia" w:eastAsiaTheme="minorEastAsia" w:hAnsiTheme="minorEastAsia" w:hint="eastAsia"/>
          <w:sz w:val="28"/>
          <w:szCs w:val="28"/>
        </w:rPr>
        <w:t>重视，召开了专门的会议研究和部署绩效评价工作，成立了由唐伍华主任</w:t>
      </w:r>
      <w:r w:rsidRPr="00C052FD">
        <w:rPr>
          <w:rFonts w:asciiTheme="minorEastAsia" w:eastAsiaTheme="minorEastAsia" w:hAnsiTheme="minorEastAsia" w:hint="eastAsia"/>
          <w:sz w:val="28"/>
          <w:szCs w:val="28"/>
        </w:rPr>
        <w:t>为组长的工作组，党支部书记刘志林负责纪律监察，财务人员具体实施，对我局</w:t>
      </w:r>
      <w:r w:rsidR="00555F57">
        <w:rPr>
          <w:rFonts w:asciiTheme="minorEastAsia" w:eastAsiaTheme="minorEastAsia" w:hAnsiTheme="minorEastAsia"/>
          <w:sz w:val="28"/>
          <w:szCs w:val="28"/>
        </w:rPr>
        <w:t>20</w:t>
      </w:r>
      <w:r w:rsidR="00555F57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C052FD">
        <w:rPr>
          <w:rFonts w:asciiTheme="minorEastAsia" w:eastAsiaTheme="minorEastAsia" w:hAnsiTheme="minorEastAsia" w:hint="eastAsia"/>
          <w:sz w:val="28"/>
          <w:szCs w:val="28"/>
        </w:rPr>
        <w:t>年的预算支出进行认真、详细的、客观的评价。</w:t>
      </w:r>
    </w:p>
    <w:p w:rsidR="00D542F9" w:rsidRPr="00C052FD" w:rsidRDefault="00D542F9" w:rsidP="00C052FD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C052FD">
        <w:rPr>
          <w:rFonts w:asciiTheme="minorEastAsia" w:eastAsiaTheme="minorEastAsia" w:hAnsiTheme="minorEastAsia" w:hint="eastAsia"/>
          <w:sz w:val="28"/>
          <w:szCs w:val="28"/>
        </w:rPr>
        <w:t>三、项目主要绩效及评价结论</w:t>
      </w:r>
    </w:p>
    <w:p w:rsidR="00D542F9" w:rsidRPr="00C052FD" w:rsidRDefault="00C16F0F" w:rsidP="00C052FD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文化</w:t>
      </w:r>
      <w:r w:rsidR="00555F57">
        <w:rPr>
          <w:rFonts w:asciiTheme="minorEastAsia" w:eastAsiaTheme="minorEastAsia" w:hAnsiTheme="minorEastAsia" w:hint="eastAsia"/>
          <w:sz w:val="28"/>
          <w:szCs w:val="28"/>
        </w:rPr>
        <w:t>遗产事务中心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及水口山工人运动陈列馆是我市公共文化服务体系的重要组成部分，是保障人民群众基本文化权益的重要阵地，合理利用我市珍贵的文物资源发挥其社会功能，对于满足市民群众日益增长的精神文化需求，振奋民族精神，激发爱国热情，弘扬我市优秀文化传统，推动社会主义文化大发展大繁荣，具有十分重要的意义。从时效目标、数量目标、可持续影响目标等方面进行绩效评价，资金到位率</w:t>
      </w:r>
      <w:r w:rsidR="00D542F9" w:rsidRPr="00C052FD">
        <w:rPr>
          <w:rFonts w:asciiTheme="minorEastAsia" w:eastAsiaTheme="minorEastAsia" w:hAnsiTheme="minorEastAsia"/>
          <w:sz w:val="28"/>
          <w:szCs w:val="28"/>
        </w:rPr>
        <w:t>100%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，安全生产</w:t>
      </w:r>
      <w:r w:rsidR="00D542F9" w:rsidRPr="00C052FD">
        <w:rPr>
          <w:rFonts w:asciiTheme="minorEastAsia" w:eastAsiaTheme="minorEastAsia" w:hAnsiTheme="minorEastAsia"/>
          <w:sz w:val="28"/>
          <w:szCs w:val="28"/>
        </w:rPr>
        <w:t>100%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，文物损毁、危害率</w:t>
      </w:r>
      <w:r w:rsidR="00D542F9" w:rsidRPr="00C052FD">
        <w:rPr>
          <w:rFonts w:asciiTheme="minorEastAsia" w:eastAsiaTheme="minorEastAsia" w:hAnsiTheme="minorEastAsia"/>
          <w:sz w:val="28"/>
          <w:szCs w:val="28"/>
        </w:rPr>
        <w:t>0%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，管理制度健全规范，资金专款专用，固定资产有专人管理。服务群众满意度达</w:t>
      </w:r>
      <w:r w:rsidR="00D542F9" w:rsidRPr="00C052FD">
        <w:rPr>
          <w:rFonts w:asciiTheme="minorEastAsia" w:eastAsiaTheme="minorEastAsia" w:hAnsiTheme="minorEastAsia"/>
          <w:sz w:val="28"/>
          <w:szCs w:val="28"/>
        </w:rPr>
        <w:t>95%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以上。</w:t>
      </w:r>
    </w:p>
    <w:p w:rsidR="00D542F9" w:rsidRPr="00C052FD" w:rsidRDefault="00D542F9" w:rsidP="00C052FD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C052FD">
        <w:rPr>
          <w:rFonts w:asciiTheme="minorEastAsia" w:eastAsiaTheme="minorEastAsia" w:hAnsiTheme="minorEastAsia" w:hint="eastAsia"/>
          <w:sz w:val="28"/>
          <w:szCs w:val="28"/>
        </w:rPr>
        <w:t>四、存在的问题</w:t>
      </w:r>
    </w:p>
    <w:p w:rsidR="005A6C4D" w:rsidRDefault="00D542F9" w:rsidP="005A6C4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052FD">
        <w:rPr>
          <w:rFonts w:asciiTheme="minorEastAsia" w:eastAsiaTheme="minorEastAsia" w:hAnsiTheme="minorEastAsia"/>
          <w:sz w:val="28"/>
          <w:szCs w:val="28"/>
        </w:rPr>
        <w:t>1</w:t>
      </w:r>
      <w:r w:rsidRPr="00C052FD">
        <w:rPr>
          <w:rFonts w:asciiTheme="minorEastAsia" w:eastAsiaTheme="minorEastAsia" w:hAnsiTheme="minorEastAsia" w:hint="eastAsia"/>
          <w:sz w:val="28"/>
          <w:szCs w:val="28"/>
        </w:rPr>
        <w:t>、中央、省、衡阳市都出台了相</w:t>
      </w:r>
      <w:r w:rsidR="00CA0E5A">
        <w:rPr>
          <w:rFonts w:asciiTheme="minorEastAsia" w:eastAsiaTheme="minorEastAsia" w:hAnsiTheme="minorEastAsia" w:hint="eastAsia"/>
          <w:sz w:val="28"/>
          <w:szCs w:val="28"/>
        </w:rPr>
        <w:t>关的法律法规，政策和文件要加大对重点文物保护单位的经费投入，</w:t>
      </w:r>
      <w:r w:rsidRPr="00C052FD">
        <w:rPr>
          <w:rFonts w:asciiTheme="minorEastAsia" w:eastAsiaTheme="minorEastAsia" w:hAnsiTheme="minorEastAsia" w:hint="eastAsia"/>
          <w:sz w:val="28"/>
          <w:szCs w:val="28"/>
        </w:rPr>
        <w:t>按照原则，文物重点保护单</w:t>
      </w:r>
      <w:r w:rsidRPr="00C052FD">
        <w:rPr>
          <w:rFonts w:asciiTheme="minorEastAsia" w:eastAsiaTheme="minorEastAsia" w:hAnsiTheme="minorEastAsia" w:hint="eastAsia"/>
          <w:sz w:val="28"/>
          <w:szCs w:val="28"/>
        </w:rPr>
        <w:lastRenderedPageBreak/>
        <w:t>位的前期保护规划，方案设计，都需要地方财政前期投入配套资金，由于财政经费不足，影响了我市重点文物保护单位的保护工作，部分文物保护单位存在安全隐患。</w:t>
      </w:r>
    </w:p>
    <w:p w:rsidR="00D542F9" w:rsidRPr="00C052FD" w:rsidRDefault="00D542F9" w:rsidP="005A6C4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052FD">
        <w:rPr>
          <w:rFonts w:asciiTheme="minorEastAsia" w:eastAsiaTheme="minorEastAsia" w:hAnsiTheme="minorEastAsia"/>
          <w:sz w:val="28"/>
          <w:szCs w:val="28"/>
        </w:rPr>
        <w:t>2</w:t>
      </w:r>
      <w:r w:rsidR="00B20BBF">
        <w:rPr>
          <w:rFonts w:asciiTheme="minorEastAsia" w:eastAsiaTheme="minorEastAsia" w:hAnsiTheme="minorEastAsia" w:hint="eastAsia"/>
          <w:sz w:val="28"/>
          <w:szCs w:val="28"/>
        </w:rPr>
        <w:t>、专业技术人员缺乏，严重制约了常宁文物事业的发展，</w:t>
      </w:r>
      <w:r w:rsidRPr="00C052FD">
        <w:rPr>
          <w:rFonts w:asciiTheme="minorEastAsia" w:eastAsiaTheme="minorEastAsia" w:hAnsiTheme="minorEastAsia" w:hint="eastAsia"/>
          <w:sz w:val="28"/>
          <w:szCs w:val="28"/>
        </w:rPr>
        <w:t>无法保证日常工作运转。</w:t>
      </w:r>
    </w:p>
    <w:p w:rsidR="00D542F9" w:rsidRPr="00C052FD" w:rsidRDefault="00D542F9" w:rsidP="00C052F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052FD">
        <w:rPr>
          <w:rFonts w:asciiTheme="minorEastAsia" w:eastAsiaTheme="minorEastAsia" w:hAnsiTheme="minorEastAsia" w:hint="eastAsia"/>
          <w:sz w:val="28"/>
          <w:szCs w:val="28"/>
        </w:rPr>
        <w:t>五、有关建议</w:t>
      </w:r>
    </w:p>
    <w:p w:rsidR="00D542F9" w:rsidRPr="00C052FD" w:rsidRDefault="00D542F9" w:rsidP="00B20BBF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C052FD">
        <w:rPr>
          <w:rFonts w:asciiTheme="minorEastAsia" w:eastAsiaTheme="minorEastAsia" w:hAnsiTheme="minorEastAsia"/>
          <w:sz w:val="28"/>
          <w:szCs w:val="28"/>
        </w:rPr>
        <w:t>1</w:t>
      </w:r>
      <w:r w:rsidRPr="00C052FD">
        <w:rPr>
          <w:rFonts w:asciiTheme="minorEastAsia" w:eastAsiaTheme="minorEastAsia" w:hAnsiTheme="minorEastAsia" w:hint="eastAsia"/>
          <w:sz w:val="28"/>
          <w:szCs w:val="28"/>
        </w:rPr>
        <w:t>、财政将文物保护专项资金纳入预算，加大重点文物保护单位经费投入。</w:t>
      </w:r>
    </w:p>
    <w:p w:rsidR="00D542F9" w:rsidRPr="00C052FD" w:rsidRDefault="00B20BBF" w:rsidP="00C052FD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D542F9" w:rsidRPr="00C052FD">
        <w:rPr>
          <w:rFonts w:asciiTheme="minorEastAsia" w:eastAsiaTheme="minorEastAsia" w:hAnsiTheme="minorEastAsia" w:hint="eastAsia"/>
          <w:sz w:val="28"/>
          <w:szCs w:val="28"/>
        </w:rPr>
        <w:t>、将博物馆建设纳入预算，提高常宁人民对馆藏文物的保护意识。</w:t>
      </w:r>
    </w:p>
    <w:p w:rsidR="00D542F9" w:rsidRPr="00C052FD" w:rsidRDefault="00D542F9" w:rsidP="00C052FD">
      <w:pPr>
        <w:ind w:firstLineChars="1400" w:firstLine="3920"/>
        <w:rPr>
          <w:rFonts w:asciiTheme="minorEastAsia" w:eastAsiaTheme="minorEastAsia" w:hAnsiTheme="minorEastAsia"/>
          <w:sz w:val="28"/>
          <w:szCs w:val="28"/>
        </w:rPr>
      </w:pPr>
    </w:p>
    <w:p w:rsidR="00D542F9" w:rsidRPr="00C052FD" w:rsidRDefault="00D542F9" w:rsidP="00C052FD">
      <w:pPr>
        <w:ind w:firstLineChars="1400" w:firstLine="3920"/>
        <w:rPr>
          <w:rFonts w:asciiTheme="minorEastAsia" w:eastAsiaTheme="minorEastAsia" w:hAnsiTheme="minorEastAsia"/>
          <w:sz w:val="28"/>
          <w:szCs w:val="28"/>
        </w:rPr>
      </w:pPr>
    </w:p>
    <w:p w:rsidR="00D542F9" w:rsidRPr="00C052FD" w:rsidRDefault="00D542F9" w:rsidP="00C052FD">
      <w:pPr>
        <w:ind w:firstLineChars="1400" w:firstLine="3920"/>
        <w:rPr>
          <w:rFonts w:asciiTheme="minorEastAsia" w:eastAsiaTheme="minorEastAsia" w:hAnsiTheme="minorEastAsia"/>
          <w:sz w:val="28"/>
          <w:szCs w:val="28"/>
        </w:rPr>
      </w:pPr>
    </w:p>
    <w:p w:rsidR="004358AB" w:rsidRPr="00C052FD" w:rsidRDefault="004358AB" w:rsidP="00D31D50">
      <w:pPr>
        <w:spacing w:line="220" w:lineRule="atLeast"/>
        <w:rPr>
          <w:sz w:val="28"/>
          <w:szCs w:val="28"/>
        </w:rPr>
      </w:pPr>
    </w:p>
    <w:sectPr w:rsidR="004358AB" w:rsidRPr="00C052F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06" w:rsidRDefault="00F54206" w:rsidP="001D5DC0">
      <w:pPr>
        <w:spacing w:after="0"/>
      </w:pPr>
      <w:r>
        <w:separator/>
      </w:r>
    </w:p>
  </w:endnote>
  <w:endnote w:type="continuationSeparator" w:id="0">
    <w:p w:rsidR="00F54206" w:rsidRDefault="00F54206" w:rsidP="001D5D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06" w:rsidRDefault="00F54206" w:rsidP="001D5DC0">
      <w:pPr>
        <w:spacing w:after="0"/>
      </w:pPr>
      <w:r>
        <w:separator/>
      </w:r>
    </w:p>
  </w:footnote>
  <w:footnote w:type="continuationSeparator" w:id="0">
    <w:p w:rsidR="00F54206" w:rsidRDefault="00F54206" w:rsidP="001D5DC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3A3"/>
    <w:multiLevelType w:val="hybridMultilevel"/>
    <w:tmpl w:val="12605632"/>
    <w:lvl w:ilvl="0" w:tplc="7E26DEBA">
      <w:start w:val="1"/>
      <w:numFmt w:val="japaneseCounting"/>
      <w:lvlText w:val="%1、"/>
      <w:lvlJc w:val="left"/>
      <w:pPr>
        <w:ind w:left="18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4C45"/>
    <w:rsid w:val="000B6FBC"/>
    <w:rsid w:val="000C43A2"/>
    <w:rsid w:val="0019064F"/>
    <w:rsid w:val="001D5DC0"/>
    <w:rsid w:val="001D70E9"/>
    <w:rsid w:val="00233F3B"/>
    <w:rsid w:val="00323B43"/>
    <w:rsid w:val="003C5BCD"/>
    <w:rsid w:val="003D37D8"/>
    <w:rsid w:val="00426133"/>
    <w:rsid w:val="004358AB"/>
    <w:rsid w:val="00441401"/>
    <w:rsid w:val="004E554C"/>
    <w:rsid w:val="004F0571"/>
    <w:rsid w:val="00540F60"/>
    <w:rsid w:val="00555F57"/>
    <w:rsid w:val="0058418C"/>
    <w:rsid w:val="005A6C4D"/>
    <w:rsid w:val="006B6FE7"/>
    <w:rsid w:val="007603EA"/>
    <w:rsid w:val="008135C8"/>
    <w:rsid w:val="008B7726"/>
    <w:rsid w:val="008F3035"/>
    <w:rsid w:val="0098287E"/>
    <w:rsid w:val="009E1CD7"/>
    <w:rsid w:val="00A76364"/>
    <w:rsid w:val="00A96749"/>
    <w:rsid w:val="00B20BBF"/>
    <w:rsid w:val="00C052FD"/>
    <w:rsid w:val="00C16F0F"/>
    <w:rsid w:val="00CA0E5A"/>
    <w:rsid w:val="00D108EF"/>
    <w:rsid w:val="00D13191"/>
    <w:rsid w:val="00D31D50"/>
    <w:rsid w:val="00D542F9"/>
    <w:rsid w:val="00DA06B7"/>
    <w:rsid w:val="00DD5D3A"/>
    <w:rsid w:val="00E20F8B"/>
    <w:rsid w:val="00E55421"/>
    <w:rsid w:val="00F14A0D"/>
    <w:rsid w:val="00F54206"/>
    <w:rsid w:val="00FD70FA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D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DC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D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DC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D542F9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A67D69-2864-44C7-9FC3-97AB2477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2008-09-11T17:20:00Z</dcterms:created>
  <dcterms:modified xsi:type="dcterms:W3CDTF">2021-10-28T00:16:00Z</dcterms:modified>
</cp:coreProperties>
</file>