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板桥镇2021年预算支出绩效评价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报     告</w:t>
      </w:r>
    </w:p>
    <w:p>
      <w:pPr>
        <w:rPr>
          <w:sz w:val="44"/>
          <w:szCs w:val="44"/>
        </w:rPr>
      </w:pPr>
    </w:p>
    <w:p>
      <w:pPr>
        <w:ind w:firstLine="1120" w:firstLineChars="3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为加强板桥镇人民政府财政资金管理，强化支出责任，建立科学、合理的财政支出绩效评价管理体系，提高本单位财政资金的使用效益，根据上级财政部门文件精神的要求，本单位组织力量对本单位的部门预算整体支出进行了绩效评价，本次评价遵循了“科学规范、公正公开、分类管理、绩效相关”的原则，运用较科学、合理的绩效评价指标、评价标准和评价方法，对本单位2021年度部门支出的绩效情况进行了客观、公正的评价。现将情况汇报如下：</w:t>
      </w:r>
    </w:p>
    <w:p>
      <w:pPr>
        <w:pStyle w:val="9"/>
        <w:ind w:left="420" w:firstLine="0" w:firstLineChars="0"/>
        <w:rPr>
          <w:rFonts w:ascii="宋体"/>
          <w:sz w:val="32"/>
          <w:szCs w:val="32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基本情况</w:t>
      </w:r>
    </w:p>
    <w:p>
      <w:pPr>
        <w:pStyle w:val="9"/>
        <w:ind w:left="780" w:firstLine="0" w:firstLineChars="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（一）部门职责</w:t>
      </w:r>
    </w:p>
    <w:p>
      <w:pPr>
        <w:ind w:firstLine="480" w:firstLineChars="15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、执行本级人民代表大会决议和上级行政机关的决定和命令，发布决定和命令；落实国家政策，严格依法行政。</w:t>
      </w:r>
    </w:p>
    <w:p>
      <w:pPr>
        <w:widowControl/>
        <w:shd w:val="clear" w:color="auto" w:fill="FFFFFF"/>
        <w:spacing w:line="290" w:lineRule="atLeast"/>
        <w:ind w:firstLine="480" w:firstLineChars="15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、宣传贯彻落实法律法规和党的各项方针政策，坚持依法行政，推进民主政治发展，促进村民自治，加强基层党组织和政权建设。</w:t>
      </w:r>
    </w:p>
    <w:p>
      <w:pPr>
        <w:widowControl/>
        <w:shd w:val="clear" w:color="auto" w:fill="FFFFFF"/>
        <w:spacing w:line="290" w:lineRule="atLeast"/>
        <w:ind w:firstLine="480" w:firstLineChars="150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3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、承担本镇农业、工业经济、第三产业的发展、安全生产、经济可持续发展等工作。负责为企业提供政策服务和营造发展环境等工作。</w:t>
      </w:r>
    </w:p>
    <w:p>
      <w:pPr>
        <w:widowControl/>
        <w:shd w:val="clear" w:color="auto" w:fill="FFFFFF"/>
        <w:spacing w:line="290" w:lineRule="atLeast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4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、负责农业、农村能源等新技术、新品种的引进、试验、示范和推广，做好农业技术指导、培训和服务工作。负责农业土地承包及流转合同的签证、纠纷调解、仲裁、合同管理、农业产业化经营管理工作。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5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、负责林业发展规划，技术服务。负责水土资源、水利工程保护和开发、管护。负责农业机械推广管理工作。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6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、推动农村社会养老保险制度。配合劳动监察部门监督检查劳动保证法律、法规的实施。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7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、落实计划生育基本国策，推进优生优育，加强农村计划生育奖扶政策的落实到位。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、保障农村最低生活水平，建立健全社会保障体系。</w:t>
      </w:r>
    </w:p>
    <w:p>
      <w:pPr>
        <w:widowControl/>
        <w:shd w:val="clear" w:color="auto" w:fill="FFFFFF"/>
        <w:spacing w:line="290" w:lineRule="atLeast"/>
        <w:ind w:firstLine="645"/>
        <w:jc w:val="left"/>
        <w:rPr>
          <w:rFonts w:ascii="宋体" w:cs="宋体"/>
          <w:color w:val="3D3D3D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9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、负责农村医疗合作管理工作，负责对本镇的行政事业单位和村级财务实行统一管理、集中核算、全面监督。</w:t>
      </w:r>
    </w:p>
    <w:p>
      <w:pPr>
        <w:widowControl/>
        <w:spacing w:line="600" w:lineRule="exact"/>
        <w:ind w:firstLine="627" w:firstLineChars="196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、负责繁荣群众文化事业，组织群众文化活动。</w:t>
      </w:r>
    </w:p>
    <w:p>
      <w:pPr>
        <w:widowControl/>
        <w:spacing w:line="600" w:lineRule="exact"/>
        <w:ind w:firstLine="627" w:firstLineChars="196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11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、烟叶生产、卫生同治、扶贫工作、绿化环保等上级交办的其他各项工作任务。</w:t>
      </w:r>
    </w:p>
    <w:p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</w:t>
      </w:r>
    </w:p>
    <w:p>
      <w:pPr>
        <w:widowControl/>
        <w:spacing w:line="600" w:lineRule="exact"/>
        <w:ind w:firstLine="960" w:firstLineChars="3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（二）部门单位构成</w:t>
      </w:r>
    </w:p>
    <w:p>
      <w:pPr>
        <w:widowControl/>
        <w:spacing w:line="600" w:lineRule="exact"/>
        <w:ind w:firstLine="800" w:firstLineChars="25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根据编委核定，我镇设办公室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个，镇机关行政编制26名，机关事业编制63名，年末在职人员89人。</w:t>
      </w:r>
    </w:p>
    <w:p>
      <w:pPr>
        <w:rPr>
          <w:rFonts w:ascii="宋体" w:hAnsi="宋体"/>
          <w:sz w:val="32"/>
          <w:szCs w:val="32"/>
        </w:rPr>
      </w:pPr>
    </w:p>
    <w:p>
      <w:pPr>
        <w:ind w:firstLine="320" w:firstLineChars="1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（三）部门收支情况</w:t>
      </w:r>
    </w:p>
    <w:p>
      <w:pPr>
        <w:spacing w:before="240"/>
        <w:ind w:firstLine="42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　　本单位2021年度收入总计2099.47万元，其中财政拨款收入1771.77万元，其他收入327.7万元。全年总支出2158.87万元（其中基本支出为722.32万元，项目支出1436.55万元</w:t>
      </w:r>
      <w:r>
        <w:rPr>
          <w:rFonts w:ascii="宋体" w:hAnsi="宋体"/>
          <w:sz w:val="32"/>
          <w:szCs w:val="32"/>
        </w:rPr>
        <w:t>）动用上年</w:t>
      </w:r>
      <w:r>
        <w:rPr>
          <w:rFonts w:hint="eastAsia" w:ascii="宋体" w:hAnsi="宋体"/>
          <w:sz w:val="32"/>
          <w:szCs w:val="32"/>
        </w:rPr>
        <w:t>结余资金59.4万元。</w:t>
      </w:r>
    </w:p>
    <w:p>
      <w:pPr>
        <w:ind w:left="420"/>
        <w:rPr>
          <w:rFonts w:ascii="宋体"/>
          <w:sz w:val="32"/>
          <w:szCs w:val="32"/>
        </w:rPr>
      </w:pPr>
    </w:p>
    <w:p>
      <w:pPr>
        <w:numPr>
          <w:ilvl w:val="0"/>
          <w:numId w:val="2"/>
        </w:num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部门绩效目标</w:t>
      </w:r>
    </w:p>
    <w:p>
      <w:pPr>
        <w:widowControl/>
        <w:shd w:val="clear" w:color="auto" w:fill="FFFFFF"/>
        <w:spacing w:line="560" w:lineRule="atLeast"/>
        <w:ind w:firstLine="960" w:firstLineChars="3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按照上级要求，2021年我镇在本级政府网上进行了预决算公开。严控“三公经费”支出，取得了良好的效果，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本年“三公”经费支出合计13.93万元，其中因公出国（境）费用</w:t>
      </w:r>
      <w:r>
        <w:rPr>
          <w:rFonts w:ascii="宋体" w:cs="宋体"/>
          <w:color w:val="000000"/>
          <w:kern w:val="0"/>
          <w:sz w:val="32"/>
          <w:szCs w:val="32"/>
        </w:rPr>
        <w:t>0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万元，公务用车运行维护费1.35万元，公务接待费12.58万元，比上年减少0.5</w:t>
      </w:r>
      <w:r>
        <w:rPr>
          <w:rFonts w:ascii="宋体" w:hAnsi="宋体" w:cs="宋体"/>
          <w:color w:val="000000"/>
          <w:kern w:val="0"/>
          <w:sz w:val="32"/>
          <w:szCs w:val="32"/>
        </w:rPr>
        <w:t>%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，三公经费下降主要是我镇加强三公经费管理，并对车辆维修、加油、保险严控管理，规范公务接待管理，实行归口统一管理，先审批后安排。</w:t>
      </w:r>
      <w:r>
        <w:rPr>
          <w:rFonts w:hint="eastAsia" w:ascii="宋体" w:hAnsi="宋体"/>
          <w:sz w:val="32"/>
          <w:szCs w:val="32"/>
        </w:rPr>
        <w:t>2021年，根据年初计划的重点工作，本单位通过对财政资金的使用，取得了如下绩效：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、烤烟建设。2021年，全镇完成种植面积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819亩，完成烟叶5500担，维修烤房31栋，共</w:t>
      </w:r>
      <w:r>
        <w:rPr>
          <w:rFonts w:ascii="宋体" w:hAnsi="宋体"/>
          <w:sz w:val="32"/>
          <w:szCs w:val="32"/>
        </w:rPr>
        <w:t>花费</w:t>
      </w:r>
      <w:r>
        <w:rPr>
          <w:rFonts w:hint="eastAsia" w:ascii="宋体" w:hAnsi="宋体"/>
          <w:sz w:val="32"/>
          <w:szCs w:val="32"/>
        </w:rPr>
        <w:t>12万元。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　　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、重点工程。公路基础设施建设：基础设施是制约农村经济发展的重要“瓶颈”，我镇内外发力，整合资源，加强基础设施投入，村组公路交通基本形成网络化。全镇村组硬化公路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3.5公里，拓宽村道5.5公里，基本上实现了村村通、组组通公路；水利建设：全镇</w:t>
      </w:r>
      <w:r>
        <w:rPr>
          <w:rFonts w:ascii="宋体" w:hAnsi="宋体"/>
          <w:sz w:val="32"/>
          <w:szCs w:val="32"/>
        </w:rPr>
        <w:t>5</w:t>
      </w:r>
      <w:r>
        <w:rPr>
          <w:rFonts w:hint="eastAsia" w:ascii="宋体" w:hAnsi="宋体"/>
          <w:sz w:val="32"/>
          <w:szCs w:val="32"/>
        </w:rPr>
        <w:t>口病险水库现已全部进行了除险加固，渠道水毁工程已全部修复，争取上级资金用于安全饮水工程，完成镇区河道及渠道清渣清淤；农业生产：继续加大对粮食生产投入，鼓励种粮大户发展双季稻种植面积达1332</w:t>
      </w:r>
      <w:r>
        <w:rPr>
          <w:rFonts w:ascii="宋体" w:hAnsi="宋体"/>
          <w:sz w:val="32"/>
          <w:szCs w:val="32"/>
        </w:rPr>
        <w:t>0</w:t>
      </w:r>
      <w:r>
        <w:rPr>
          <w:rFonts w:hint="eastAsia" w:ascii="宋体" w:hAnsi="宋体"/>
          <w:sz w:val="32"/>
          <w:szCs w:val="32"/>
        </w:rPr>
        <w:t>亩。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、安全生产工作。牢固树立“安全第一，预防为主”的安全生产工作理念，切实抓好安全生产责任制和事故责任追究制的落实，共召开安全生产专题会议35次，发放各类资料820余份，政府干部进村入点开展安全隐患排查。全年开展交通大整治36次，开展校车安全大整治7次。进一步加大非矿山综合整治力度，强化道路交通安全、烟花爆竹、危化物品等重点领域整治监控，重点做好地质灾害隐患、防洪防汛，以及森林防火、村组消防等防范工作，有效遏制了各类安全事故的发生。切实加强信访维稳工作，强化安全生产、食品药品质量安全监管。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4</w:t>
      </w:r>
      <w:r>
        <w:rPr>
          <w:rFonts w:hint="eastAsia" w:ascii="宋体" w:hAnsi="宋体"/>
          <w:sz w:val="32"/>
          <w:szCs w:val="32"/>
        </w:rPr>
        <w:t>、信访维稳工作。安排信访基本工作经费5万元，设立专门的信访维稳办。以创建“平安板桥”为抓手，工作责任分解到人，工作任务细化到岗，及时化解各类矛盾纠纷，切实维护社会和谐稳定，今年全镇化解矛盾纠纷</w:t>
      </w:r>
      <w:r>
        <w:rPr>
          <w:rFonts w:ascii="宋体" w:hAnsi="宋体"/>
          <w:sz w:val="32"/>
          <w:szCs w:val="32"/>
        </w:rPr>
        <w:t>1</w:t>
      </w:r>
      <w:r>
        <w:rPr>
          <w:rFonts w:hint="eastAsia" w:ascii="宋体" w:hAnsi="宋体"/>
          <w:sz w:val="32"/>
          <w:szCs w:val="32"/>
        </w:rPr>
        <w:t>55起，其中处理突出矛盾纠纷</w:t>
      </w:r>
      <w:r>
        <w:rPr>
          <w:rFonts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</w:rPr>
        <w:t>8起；坚持“属地管理”和“谁主管、谁负责”的原则进行稳控。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5</w:t>
      </w:r>
      <w:r>
        <w:rPr>
          <w:rFonts w:hint="eastAsia" w:ascii="宋体" w:hAnsi="宋体"/>
          <w:sz w:val="32"/>
          <w:szCs w:val="32"/>
        </w:rPr>
        <w:t>、“两违”整治工作。悬挂宣传横幅，开展村民自住建房知识集中学习。持续加大巡查力度，每半月坚持巡查全覆盖；简化村民自住建房手续审核审批工作；加强两证办理。进一步规范了建房审核程序，没有新增违法用地和违法建设现象，两违现象明显减少。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6</w:t>
      </w:r>
      <w:r>
        <w:rPr>
          <w:rFonts w:hint="eastAsia" w:ascii="宋体" w:hAnsi="宋体"/>
          <w:sz w:val="32"/>
          <w:szCs w:val="32"/>
        </w:rPr>
        <w:t>、城乡同建同治工作。成立专门队伍，加强对集镇管理，全面开展环境卫生“脏、乱、差”大整治，镇平均每年投入环境卫生资金50多万元，卫生状况变化明显。集镇主要路段，全程树立标示牌，针对乱停乱摆乱放现象，除派出所执勤抄牌外，镇政府安排专人值勤。通过整治，结束板桥集镇多年堵车的历史。同时制作宣传牌，镇村干部入户宣传，增强了集镇居民的环卫意识、交通意识。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7</w:t>
      </w:r>
      <w:r>
        <w:rPr>
          <w:rFonts w:hint="eastAsia" w:ascii="宋体" w:hAnsi="宋体"/>
          <w:sz w:val="32"/>
          <w:szCs w:val="32"/>
        </w:rPr>
        <w:t>、社会管理综合治理。严格按照网格化管理的要求，做好矛盾纠纷排查。建立健全了镇、村（社区）、组、党员四级人民调解网络，建立完善了矛盾纠纷排查预警调解处置机制，形成了大调解格局。确保大事不出村，小事不出组。全年全镇没有发生刑事案件。</w:t>
      </w:r>
    </w:p>
    <w:p>
      <w:pPr>
        <w:ind w:firstLine="420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8</w:t>
      </w:r>
      <w:r>
        <w:rPr>
          <w:rFonts w:hint="eastAsia" w:ascii="宋体" w:hAnsi="宋体"/>
          <w:sz w:val="32"/>
          <w:szCs w:val="32"/>
        </w:rPr>
        <w:t>、计划生育工作。积极落实计生优质服务，依法征收社会扶养费，计划生育工作推进有力，管理服务水平逐年提升符合政策生育率达到</w:t>
      </w:r>
      <w:r>
        <w:rPr>
          <w:rFonts w:ascii="宋体" w:hAnsi="宋体"/>
          <w:sz w:val="32"/>
          <w:szCs w:val="32"/>
        </w:rPr>
        <w:t>90%</w:t>
      </w:r>
      <w:r>
        <w:rPr>
          <w:rFonts w:hint="eastAsia" w:ascii="宋体" w:hAnsi="宋体"/>
          <w:sz w:val="32"/>
          <w:szCs w:val="32"/>
        </w:rPr>
        <w:t>，落实国家奖励扶助对象290人。</w:t>
      </w:r>
    </w:p>
    <w:p>
      <w:pPr>
        <w:ind w:firstLine="42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9、反电诈工作。为有效开展打击防范电信诈骗中和治理有效性和组织保障，严格按照上级主管部门会议精神要求，规定内容不走样，在自主安排的内容中，我们措施紧密结合实际，对全镇范围内人员进行一一摸底排查，积极开展各项宣传，对摸排出已在境外人员我们组织人员进行劝返，取得了良好的效果。</w:t>
      </w: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二、绩效评价工作情况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（一）.</w:t>
      </w:r>
      <w:r>
        <w:rPr>
          <w:rFonts w:hint="eastAsia" w:ascii="宋体" w:hAnsi="宋体"/>
          <w:sz w:val="32"/>
          <w:szCs w:val="32"/>
        </w:rPr>
        <w:t>绩效评价目的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次自评的目的是了解本部门2021年度财政资金预算支出的绩效状况，为今后预算安排提供决策支持。进一步增强本部门支出管理的责任，优化支出结构，提升预算管理水平，保障更好地履行职责，提高公务服务质量和财政资金使用效益，促进当地经济健康发展。</w:t>
      </w:r>
    </w:p>
    <w:p>
      <w:pPr>
        <w:ind w:firstLine="640" w:firstLineChars="20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（二）</w:t>
      </w:r>
      <w:r>
        <w:rPr>
          <w:rFonts w:hint="eastAsia" w:ascii="宋体" w:hAnsi="宋体"/>
          <w:sz w:val="32"/>
          <w:szCs w:val="32"/>
        </w:rPr>
        <w:t>、绩效评价实施过程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根据绩效评价的要求，本单位制定了部门支出绩效评价的工作方案、评价指标，成立了绩效评价工作领导小组、绩效评价工作组，对照各实施项目内容逐条逐项自评，在自评过程发现问题查找原因，及时纠正偏差，为下一步工作夯实基础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完善制度确保资金运行有章可循。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板桥镇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根据国家相关法规的规定，结合自身实际，制定了《板桥镇财务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管理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办法》《财政所内部财务管理控制制度》《专项财政资金监管制度》等规章制度，严格按照财经纪律规范和使用财政资金，做到资金的使用均有完整的审批程序，并实行专人管理、转账核算、专款专用原则，资金管理情况较好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2、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严格规程确保资金运行安全高效。从工程的项目规划申报到立项、招投标，以及后期的开工建设、监理我们都严格按程序、流程进行操作，项目完工后及时组织专门人员进行验收签证。在工程款的支付管理上，款项下到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后，街道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召开专题党政会议，分析研究工程建设情况，按进度确定支付比例，上报支付局审批后统一支付。严格的制度落实，既保证了工程质量又保障了工程款的及时到位。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三、评价结论及建议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2021年，我镇及时、准确、优质地完成预算编制；预算执行情况良好，支出管理规范，未出现因违规支出受到相关监督部门批评或处理的情况；资金管理制度较为完善，会计核算和账务处理规范，会计资料完整；项目开支依据和标准符合相关规定，实施过程中能够严格执行有关制度规定，按目标数量及质量按时完工，基本实现了项目设计功能，受益群体满意度高；工作中密切联系群众、服务群众，积极妥善处理群众来信来访，化解社会矛盾，加强机关自身建设和党风廉政建设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（一）经济性评价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2021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年我街道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整体支出按照市财政局下达的预算批复，严格控制预算支出，不断强化管理，严格执行了预决算公开。对于基本支出中的工资福利支出、对个人和家庭补助支出按照实际在编人员及进度均衡支付；对于商品及服务支出（日常公用经费）按照下达的预算执行，实现内部报告审批制度，实时监控支出情况；对于项目支出的经费使用情况进行监督检查，超过金额规定的采购支出均过政府采购流程。本年我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充分节约使用经费，基本支出较好地控制在预算额度内。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（二）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效率性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评价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为强化部门整体支出，加强国有资产管理，提高资金使用效益，提升财务管理，建立节约型机关，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2021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年我街道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办事处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在强化业务管理、财务管理和厉行节约方面开展了大量工作，行政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效率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显著。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1、建立了经费支出定期汇报和公示机制，提高了经费支出的公开透明性。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按照财政要求对部门预算、“三公”经费进行例行公示，根据经费支出情况，定期进行经费支出统计和分析，及时召开领导班子会议，汇报阶段性经费支出情况，并对经费支出的管理状况提出建设性的意见。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　　2、严格执行国库集中支付、政府采购等有关规定，政府采购目录内的货物与服务全部按要求实施了政府采购，确保了支出管理流程、审批手续的完整。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555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3、强化资金使用的监督管理及预算管理。一是规范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租车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管理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办法；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二是规范公务接待，严格按照公务接待管理制度执行，本年公务接待费用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有所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减少；三是规范安全生产培训、宣传、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项目建设协调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活动，严格办公用房管理等，控制办公经费开支；四是严格财务管理，严格财务的审核把关，对各部门实行经费支出限额管理，严控经费支出，落实项目资金专款专用。</w:t>
      </w:r>
    </w:p>
    <w:p>
      <w:pPr>
        <w:shd w:val="clear" w:color="FCFCFC" w:fill="FFFFFF"/>
        <w:autoSpaceDE w:val="0"/>
        <w:autoSpaceDN w:val="0"/>
        <w:snapToGrid w:val="0"/>
        <w:spacing w:line="360" w:lineRule="auto"/>
        <w:ind w:firstLine="555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color w:val="000000"/>
          <w:sz w:val="28"/>
          <w:szCs w:val="28"/>
        </w:rPr>
        <w:t>（三）项目产出及社会效益评价</w:t>
      </w:r>
    </w:p>
    <w:p>
      <w:pPr>
        <w:snapToGrid w:val="0"/>
        <w:spacing w:line="360" w:lineRule="auto"/>
        <w:ind w:firstLine="560" w:firstLineChars="20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、全力整治城乡环境卫生。健全完善整建工作常态化机制，以社会化管理市场化运作模式推进城区保洁和垃圾处理,城乡面貌日新月异，人居环境明显改善。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2021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年板桥镇加大工作力度，强化工作措施，整合环境卫生城乡同治的管理职能，成立了城乡同治管理组，出台了环境卫生管理等一系列细化方案，有力地促进全街办事处环境治理工作制度化、规范化、常态化。</w:t>
      </w:r>
    </w:p>
    <w:p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、以安全稳定为基础，凝聚社会管理新合力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。2021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年，板桥镇把维护社会安全稳定工作摆在突出位置，强化各项措施的落实，并制定了一系列工作方案。紧紧依靠政法队伍和基层群众治保调解作用，严厉打击，成效显著，及时维稳，把矛盾消灭在萌芽状态。全年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基本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无重大群体事件、无重大治安事件、无重大民转型案件，实现人心安定，社会稳定。</w:t>
      </w:r>
    </w:p>
    <w:p>
      <w:pPr>
        <w:widowControl/>
        <w:shd w:val="clear" w:color="FCFCFC" w:fill="FFFFFF"/>
        <w:snapToGrid w:val="0"/>
        <w:spacing w:line="360" w:lineRule="auto"/>
        <w:ind w:firstLine="420"/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3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、以党的建设为保障，提升干部队伍新能力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。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全面加强干部队伍建设，不断夯实村级组织阵地，努力营造风清气正氛围。办事处制定印发了板桥镇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2021</w:t>
      </w:r>
      <w:r>
        <w:rPr>
          <w:rFonts w:asciiTheme="minorEastAsia" w:hAnsiTheme="minorEastAsia" w:eastAsiaTheme="minorEastAsia"/>
          <w:color w:val="000000"/>
          <w:sz w:val="28"/>
          <w:szCs w:val="28"/>
        </w:rPr>
        <w:t>年基层党建工作要点和年度工作计划，把基层党建工作纳入村（社区）、学校、医院工作目标管理考核内容，与所有基层党组织签订了党建工作责任状，扎实开展村（社区）党组织书记“双述双评”活动，对去年述职评议考核排末位的村级党组织书记进行了约谈，并作相关处置。建立了软弱涣散党组织联系点、社区“三联一帮”联系点。</w:t>
      </w:r>
    </w:p>
    <w:p>
      <w:pPr>
        <w:spacing w:line="360" w:lineRule="auto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四</w:t>
      </w: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</w:rPr>
        <w:t>、存在的问题</w:t>
      </w:r>
    </w:p>
    <w:p>
      <w:pPr>
        <w:spacing w:line="360" w:lineRule="auto"/>
        <w:rPr>
          <w:rFonts w:cs="仿宋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</w:rPr>
        <w:t xml:space="preserve"> （一）财务制度执行力有待加强，资金使用计划有待进一步细化。</w:t>
      </w:r>
    </w:p>
    <w:p>
      <w:pPr>
        <w:spacing w:line="360" w:lineRule="auto"/>
        <w:rPr>
          <w:rFonts w:cs="仿宋" w:asciiTheme="minorEastAsia" w:hAnsiTheme="minorEastAsia" w:eastAsiaTheme="minorEastAsia"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color w:val="000000"/>
          <w:kern w:val="0"/>
          <w:sz w:val="28"/>
          <w:szCs w:val="28"/>
        </w:rPr>
        <w:t xml:space="preserve">  （二）财政预算资金到位比较迟缓，各项目经费支付不能及时到位。</w:t>
      </w:r>
    </w:p>
    <w:p>
      <w:pPr>
        <w:spacing w:line="360" w:lineRule="auto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五、改进措施和建议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一）强化预算管理，加大预算执行力。在编制预算时，要全面结合实际情况，将各个部门的全部财务事项纳入预算管理范围，并广泛听取意见，收集各部门的资料，汇总后交领导和群众讨论，反复协调与平衡，细化收支项目，落实政府收支分类改革措施，切实保证预算与实际相符。</w:t>
      </w:r>
    </w:p>
    <w:p>
      <w:pPr>
        <w:spacing w:line="360" w:lineRule="auto"/>
        <w:ind w:firstLine="560" w:firstLineChars="200"/>
        <w:rPr>
          <w:rFonts w:cs="仿宋" w:asciiTheme="minorEastAsia" w:hAnsiTheme="minorEastAsia" w:eastAsiaTheme="minorEastAsia"/>
          <w:bCs/>
          <w:color w:val="000000"/>
          <w:kern w:val="0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>（二）正确认识单位财务管理的重要性，完善单位内部控制监督机制，首先要从思想认识上入手，统一思想，加强宣传教育，充分认识财政财务工作的重要性，进一步加强对财务人员的管理，明确各部门工作职责和责任划分，健全单位内部财务管理体制，按不相容职责相分离的原则设立财务管理的相关岗位，明确职责，保证各种会计核算资料的真实、合法、完整，形成一种互相牵制的内部控制机制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仿宋" w:asciiTheme="minorEastAsia" w:hAnsiTheme="minorEastAsia" w:eastAsiaTheme="minorEastAsia"/>
          <w:bCs/>
          <w:color w:val="000000"/>
          <w:kern w:val="0"/>
          <w:sz w:val="28"/>
          <w:szCs w:val="28"/>
        </w:rPr>
        <w:t xml:space="preserve">（三）加强国有资产和固定资产的管理，在资金管理上健全资产管理制度，包括财产清查制度、差旅费使用管理规定、固定资产的验收、保管制度等，严格开支审批制度，减少单位资产流失。另一方面，规范银行账户，加强票据管理，严格按照规定办理银行开户和收支事宜，不出租出借账户，不公款私存，对单位往来票据则要保证其真实、完整、合法性，并及时进行清理，加强票据缴销。 </w:t>
      </w:r>
    </w:p>
    <w:p>
      <w:pPr>
        <w:ind w:firstLine="42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。</w:t>
      </w:r>
    </w:p>
    <w:p>
      <w:pPr>
        <w:widowControl/>
        <w:spacing w:line="600" w:lineRule="exact"/>
        <w:ind w:right="112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                             </w:t>
      </w:r>
      <w:bookmarkStart w:id="0" w:name="_GoBack"/>
      <w:bookmarkEnd w:id="0"/>
    </w:p>
    <w:p>
      <w:pPr>
        <w:widowControl/>
        <w:spacing w:line="600" w:lineRule="exact"/>
        <w:ind w:right="1120" w:firstLine="4919" w:firstLineChars="1750"/>
        <w:jc w:val="righ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right="48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板桥镇人民</w:t>
      </w:r>
      <w:r>
        <w:rPr>
          <w:rFonts w:ascii="宋体" w:hAnsi="宋体"/>
          <w:sz w:val="32"/>
          <w:szCs w:val="32"/>
        </w:rPr>
        <w:t>政府</w:t>
      </w:r>
    </w:p>
    <w:p>
      <w:pPr>
        <w:widowControl/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2022年8月</w:t>
      </w:r>
      <w:r>
        <w:rPr>
          <w:rFonts w:hint="eastAsia" w:ascii="宋体" w:hAnsi="宋体"/>
          <w:sz w:val="32"/>
          <w:szCs w:val="32"/>
          <w:lang w:val="en-US" w:eastAsia="zh-CN"/>
        </w:rPr>
        <w:t>31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ind w:firstLine="420"/>
        <w:rPr>
          <w:rFonts w:ascii="宋体" w:hAnsi="宋体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C1A5A"/>
    <w:multiLevelType w:val="multilevel"/>
    <w:tmpl w:val="0EFC1A5A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1142329E"/>
    <w:multiLevelType w:val="multilevel"/>
    <w:tmpl w:val="1142329E"/>
    <w:lvl w:ilvl="0" w:tentative="0">
      <w:start w:val="4"/>
      <w:numFmt w:val="japaneseCounting"/>
      <w:lvlText w:val="（%1）"/>
      <w:lvlJc w:val="left"/>
      <w:pPr>
        <w:ind w:left="1500" w:hanging="1080"/>
      </w:pPr>
      <w:rPr>
        <w:rFonts w:hint="default" w:hAnsi="宋体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I3MWRlYjA1OGI1NDQzMWQxMGRlOTRmYTgwYzZiNWQifQ=="/>
  </w:docVars>
  <w:rsids>
    <w:rsidRoot w:val="00694A3C"/>
    <w:rsid w:val="000923FD"/>
    <w:rsid w:val="00100679"/>
    <w:rsid w:val="001372D9"/>
    <w:rsid w:val="001A4EBC"/>
    <w:rsid w:val="00250B1A"/>
    <w:rsid w:val="0036456A"/>
    <w:rsid w:val="003849B1"/>
    <w:rsid w:val="003A5C19"/>
    <w:rsid w:val="003B2698"/>
    <w:rsid w:val="003B4ACD"/>
    <w:rsid w:val="004043AE"/>
    <w:rsid w:val="00450668"/>
    <w:rsid w:val="00453E65"/>
    <w:rsid w:val="00475A96"/>
    <w:rsid w:val="004A367E"/>
    <w:rsid w:val="004F5B94"/>
    <w:rsid w:val="005235CA"/>
    <w:rsid w:val="0064570B"/>
    <w:rsid w:val="00690961"/>
    <w:rsid w:val="00694A3C"/>
    <w:rsid w:val="006D0DCF"/>
    <w:rsid w:val="00710ABE"/>
    <w:rsid w:val="00761CF0"/>
    <w:rsid w:val="007B6955"/>
    <w:rsid w:val="007D0F33"/>
    <w:rsid w:val="00811C5D"/>
    <w:rsid w:val="00836A0C"/>
    <w:rsid w:val="0088006E"/>
    <w:rsid w:val="008922B5"/>
    <w:rsid w:val="00894168"/>
    <w:rsid w:val="008A651C"/>
    <w:rsid w:val="00902E71"/>
    <w:rsid w:val="00931501"/>
    <w:rsid w:val="00976B5D"/>
    <w:rsid w:val="009D14C9"/>
    <w:rsid w:val="009F2648"/>
    <w:rsid w:val="00A524D5"/>
    <w:rsid w:val="00A6325B"/>
    <w:rsid w:val="00A974FB"/>
    <w:rsid w:val="00AA790C"/>
    <w:rsid w:val="00AE1E73"/>
    <w:rsid w:val="00BB57C3"/>
    <w:rsid w:val="00BC3C44"/>
    <w:rsid w:val="00BF40C8"/>
    <w:rsid w:val="00C040B9"/>
    <w:rsid w:val="00C20718"/>
    <w:rsid w:val="00C60938"/>
    <w:rsid w:val="00C73E36"/>
    <w:rsid w:val="00C9103F"/>
    <w:rsid w:val="00CA607E"/>
    <w:rsid w:val="00CB5FC3"/>
    <w:rsid w:val="00CD2A7E"/>
    <w:rsid w:val="00D9223F"/>
    <w:rsid w:val="00E902DB"/>
    <w:rsid w:val="00EC1E8B"/>
    <w:rsid w:val="00ED473D"/>
    <w:rsid w:val="00EF47A6"/>
    <w:rsid w:val="00F00BFB"/>
    <w:rsid w:val="00F12C64"/>
    <w:rsid w:val="00F42931"/>
    <w:rsid w:val="00F46120"/>
    <w:rsid w:val="00FD2C92"/>
    <w:rsid w:val="01894663"/>
    <w:rsid w:val="02FE5985"/>
    <w:rsid w:val="0CBB5A49"/>
    <w:rsid w:val="197A7DFC"/>
    <w:rsid w:val="1FEF6AC5"/>
    <w:rsid w:val="29A4050A"/>
    <w:rsid w:val="2AE33BFB"/>
    <w:rsid w:val="2EAC25FB"/>
    <w:rsid w:val="2F055B80"/>
    <w:rsid w:val="347E2098"/>
    <w:rsid w:val="3AF2189C"/>
    <w:rsid w:val="3C7C7FF2"/>
    <w:rsid w:val="3F6D25CD"/>
    <w:rsid w:val="4179505F"/>
    <w:rsid w:val="434773B0"/>
    <w:rsid w:val="45D36CD7"/>
    <w:rsid w:val="48557384"/>
    <w:rsid w:val="486F2ED9"/>
    <w:rsid w:val="487F1B91"/>
    <w:rsid w:val="489B7B2E"/>
    <w:rsid w:val="4A906B0D"/>
    <w:rsid w:val="537D28FC"/>
    <w:rsid w:val="55004C7C"/>
    <w:rsid w:val="56B25973"/>
    <w:rsid w:val="57673258"/>
    <w:rsid w:val="59285959"/>
    <w:rsid w:val="621568E4"/>
    <w:rsid w:val="639D06BD"/>
    <w:rsid w:val="66700A2E"/>
    <w:rsid w:val="6CB749F2"/>
    <w:rsid w:val="6E52522A"/>
    <w:rsid w:val="7DE428BA"/>
    <w:rsid w:val="7FFB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4913</Words>
  <Characters>5040</Characters>
  <Lines>2</Lines>
  <Paragraphs>10</Paragraphs>
  <TotalTime>418</TotalTime>
  <ScaleCrop>false</ScaleCrop>
  <LinksUpToDate>false</LinksUpToDate>
  <CharactersWithSpaces>5141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2017-10-26T09:03:00Z</dcterms:created>
  <dc:creator>Administrator</dc:creator>
  <cp:lastModifiedBy>心想事成</cp:lastModifiedBy>
  <cp:lastPrinted>2021-04-06T10:52:00Z</cp:lastPrinted>
  <dcterms:modified xsi:type="dcterms:W3CDTF">2022-08-26T03:19:54Z</dcterms:modified>
  <dc:title>板桥镇人民政府2016年预算支出绩效评价报     告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DE56B87699F74D44B989AEAE7EF246FC</vt:lpwstr>
  </property>
</Properties>
</file>