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jc w:val="center"/>
        <w:rPr>
          <w:rFonts w:ascii="宋体" w:hAnsi="宋体" w:cs="Arial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333333"/>
          <w:kern w:val="0"/>
          <w:sz w:val="44"/>
          <w:szCs w:val="44"/>
        </w:rPr>
        <w:t>劳动人事争议仲裁院2</w:t>
      </w:r>
      <w:r>
        <w:rPr>
          <w:rFonts w:hint="eastAsia" w:ascii="宋体" w:hAnsi="宋体" w:cs="Arial"/>
          <w:b/>
          <w:color w:val="333333"/>
          <w:kern w:val="0"/>
          <w:sz w:val="44"/>
          <w:szCs w:val="44"/>
          <w:lang w:val="en-US" w:eastAsia="zh-CN"/>
        </w:rPr>
        <w:t>021</w:t>
      </w:r>
      <w:r>
        <w:rPr>
          <w:rFonts w:ascii="宋体" w:hAnsi="宋体" w:cs="Arial"/>
          <w:b/>
          <w:color w:val="333333"/>
          <w:kern w:val="0"/>
          <w:sz w:val="44"/>
          <w:szCs w:val="44"/>
        </w:rPr>
        <w:t>年</w:t>
      </w:r>
      <w:r>
        <w:rPr>
          <w:rFonts w:hint="eastAsia" w:ascii="宋体" w:hAnsi="宋体" w:cs="Arial"/>
          <w:b/>
          <w:color w:val="333333"/>
          <w:kern w:val="0"/>
          <w:sz w:val="44"/>
          <w:szCs w:val="44"/>
        </w:rPr>
        <w:t>绩效评价报告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Arial" w:hAnsi="Arial" w:cs="Arial"/>
          <w:color w:val="333333"/>
          <w:kern w:val="0"/>
          <w:sz w:val="19"/>
          <w:szCs w:val="19"/>
        </w:rPr>
      </w:pPr>
      <w:r>
        <w:rPr>
          <w:rFonts w:ascii="Arial" w:hAnsi="Arial" w:cs="Arial"/>
          <w:color w:val="333333"/>
          <w:kern w:val="0"/>
          <w:sz w:val="19"/>
          <w:szCs w:val="19"/>
        </w:rPr>
        <w:t>　　  </w:t>
      </w:r>
    </w:p>
    <w:p>
      <w:pPr>
        <w:widowControl/>
        <w:shd w:val="clear" w:color="auto" w:fill="FFFFFF"/>
        <w:spacing w:line="384" w:lineRule="atLeast"/>
        <w:ind w:firstLine="948" w:firstLineChars="295"/>
        <w:jc w:val="left"/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一、部门概况</w:t>
      </w:r>
    </w:p>
    <w:p>
      <w:pPr>
        <w:widowControl/>
        <w:shd w:val="clear" w:color="auto" w:fill="FFFFFF"/>
        <w:spacing w:line="384" w:lineRule="atLeast"/>
        <w:ind w:firstLine="793" w:firstLineChars="247"/>
        <w:jc w:val="left"/>
        <w:rPr>
          <w:rFonts w:hint="eastAsia" w:ascii="楷体" w:hAnsi="楷体" w:eastAsia="楷体" w:cs="Arial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color w:val="333333"/>
          <w:kern w:val="0"/>
          <w:sz w:val="32"/>
          <w:szCs w:val="32"/>
        </w:rPr>
        <w:t>（一）部门基本情况</w:t>
      </w:r>
    </w:p>
    <w:p>
      <w:pPr>
        <w:pStyle w:val="2"/>
        <w:spacing w:beforeAutospacing="0" w:afterAutospacing="0" w:line="360" w:lineRule="auto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1、部门设置。根据编委核定本单位内设股室3个，内设办公室、仲裁庭、立案庭。</w:t>
      </w:r>
    </w:p>
    <w:p>
      <w:pPr>
        <w:pStyle w:val="2"/>
        <w:spacing w:beforeAutospacing="0" w:afterAutospacing="0" w:line="360" w:lineRule="auto"/>
        <w:ind w:firstLine="750" w:firstLineChars="25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2、人员情况。本部门编制数6人,在职人数6人，其中:在岗人数6人；离退休人数0人，其中离休人员0人，退休人员0人。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　   </w:t>
      </w: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（二）部门职能职责 </w:t>
      </w:r>
    </w:p>
    <w:p>
      <w:pPr>
        <w:spacing w:line="560" w:lineRule="exact"/>
        <w:ind w:left="8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（一）负责宣传、贯彻和执行国家、省、衡阳市劳动人事工作有关方针政策和法律法规，拟订劳动人事争议仲裁工作规划和年度计划，并组织实施。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（二）负责承办本市辖区范围内的劳动人事争议仲裁案件。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（三）负责开展本市劳动人事争议预防和处理方面的咨询工作。</w:t>
      </w:r>
    </w:p>
    <w:p>
      <w:pPr>
        <w:spacing w:line="56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（四）负责培训和评聘劳动争议专、兼职仲裁员和调解员。</w:t>
      </w:r>
    </w:p>
    <w:p>
      <w:pPr>
        <w:spacing w:line="560" w:lineRule="exact"/>
        <w:ind w:left="990" w:leftChars="400" w:hanging="150" w:hangingChars="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（五）协助指导乡镇（街道）劳动人事争议案件的处理，参与全市重大劳动人事争议案件的调查处理。</w:t>
      </w:r>
    </w:p>
    <w:p>
      <w:pPr>
        <w:widowControl/>
        <w:spacing w:line="560" w:lineRule="exact"/>
        <w:ind w:firstLine="900" w:firstLineChars="3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（六）完成市人力资源和社会保障局交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办的其他事务。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二、部门整体支出情况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50" w:firstLineChars="250"/>
        <w:textAlignment w:val="auto"/>
        <w:rPr>
          <w:rFonts w:hint="eastAsia" w:ascii="仿宋" w:hAnsi="仿宋" w:eastAsia="仿宋" w:cs="仿宋"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度财政拨款支出49.56万元，主要用于以下方面：社会保障和就业支出47.09万元，占95.02%。卫生健康支出2.47万元，占4.98%。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2021年度财政拨款支出年初预算数为62.95万元，支出决算数为49.56万元，完成年初预算的78%，其中：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压缩了一般性支出及项目支出。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三、绩效评价工作情况</w:t>
      </w:r>
    </w:p>
    <w:p>
      <w:pPr>
        <w:widowControl/>
        <w:shd w:val="clear" w:color="auto" w:fill="FFFFFF"/>
        <w:spacing w:line="384" w:lineRule="atLeast"/>
        <w:ind w:firstLine="444" w:firstLineChars="148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（一</w:t>
      </w: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）绩效评价目的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完善项目管理机制，建立以绩效目标为基础，通过绩效自评，发现问题，及时整改，确保项目顺利完成，达到项目建设预期目标；二是从财政角度对资金支持对象的实际产出和效益进行评价，改进预算决策和管理水平，提高资金使用效益；三是促进业务主管部门科学编制预算，强化资金使用效益意识，提升资金管理水平和工作质量；四是积极运用绩效评价结果，作为资金分配等重要依据。</w:t>
      </w:r>
    </w:p>
    <w:p>
      <w:pPr>
        <w:widowControl/>
        <w:shd w:val="clear" w:color="auto" w:fill="FFFFFF"/>
        <w:spacing w:line="540" w:lineRule="atLeast"/>
        <w:ind w:firstLine="48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（二）绩效评价工作过程。</w:t>
      </w:r>
    </w:p>
    <w:p>
      <w:pPr>
        <w:widowControl/>
        <w:shd w:val="clear" w:color="auto" w:fill="FFFFFF"/>
        <w:spacing w:line="540" w:lineRule="atLeast"/>
        <w:ind w:firstLine="56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常宁市关于转发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湖南省省级预算支出绩效评价结果应用管理办法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的通知</w:t>
      </w:r>
      <w:r>
        <w:rPr>
          <w:rFonts w:hint="eastAsia" w:ascii="仿宋" w:hAnsi="仿宋" w:eastAsia="仿宋" w:cs="仿宋"/>
          <w:sz w:val="30"/>
          <w:szCs w:val="30"/>
        </w:rPr>
        <w:t>（常财绩[20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20]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111</w:t>
      </w:r>
      <w:r>
        <w:rPr>
          <w:rFonts w:hint="eastAsia" w:ascii="仿宋" w:hAnsi="仿宋" w:eastAsia="仿宋" w:cs="仿宋"/>
          <w:sz w:val="30"/>
          <w:szCs w:val="30"/>
        </w:rPr>
        <w:t>号）后，我院高度重视，立即要求各相关股室对各项资金开展自查，核实各项目实施情况、资金管理使用情况、收集相关基础数据，之后由财务股汇总分析各相关股室的数据，撰写绩效自评报告。</w:t>
      </w:r>
    </w:p>
    <w:p>
      <w:pPr>
        <w:widowControl/>
        <w:shd w:val="clear" w:color="auto" w:fill="FFFFFF"/>
        <w:spacing w:line="540" w:lineRule="atLeast"/>
        <w:ind w:firstLine="590" w:firstLineChars="196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四、项目主要绩效及评价结论</w:t>
      </w:r>
    </w:p>
    <w:p>
      <w:pPr>
        <w:ind w:firstLine="756" w:firstLineChars="2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扎实开展工作。</w:t>
      </w:r>
      <w:r>
        <w:rPr>
          <w:rFonts w:hint="eastAsia" w:ascii="仿宋" w:hAnsi="仿宋" w:eastAsia="仿宋" w:cs="仿宋"/>
          <w:sz w:val="30"/>
          <w:szCs w:val="30"/>
        </w:rPr>
        <w:t>截止日前，线上线下共受理劳动人事争议案件63起，不予受理案件23起，申请人撤诉5起，当期结案件62件，调解结案44件，还有1件正在审理当中，结案率98%，终局裁决占裁决案件的20%，调解成功率71%。为劳动者挽回经济损失和争取待遇430余万元。仲裁坚持以法律为0准绳，以事实为依据办案，得到当事人和社会各界的肯定与认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hd w:val="clear" w:color="auto" w:fill="FFFFFF"/>
        <w:spacing w:line="384" w:lineRule="atLeast"/>
        <w:ind w:firstLine="590" w:firstLineChars="196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五、存在的问题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）专职办案人员少。</w:t>
      </w:r>
      <w:r>
        <w:rPr>
          <w:rFonts w:hint="eastAsia" w:ascii="仿宋" w:hAnsi="仿宋" w:eastAsia="仿宋" w:cs="仿宋"/>
          <w:sz w:val="30"/>
          <w:szCs w:val="30"/>
        </w:rPr>
        <w:t>目前仲裁院共有专职仲裁员2人，而全市的劳动争议案件的增长率逐年递增，人员少任务重压力大的矛盾尤为突出，办案力量非常薄弱，且法律专业人才严重缺乏，远远不能适应劳动争议案件日趋递增的需要。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(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)乡镇街道办事处建立劳动争议调解组织存在困难。</w:t>
      </w:r>
      <w:r>
        <w:rPr>
          <w:rFonts w:hint="eastAsia" w:ascii="仿宋" w:hAnsi="仿宋" w:eastAsia="仿宋" w:cs="仿宋"/>
          <w:sz w:val="30"/>
          <w:szCs w:val="30"/>
        </w:rPr>
        <w:t>网上办案、互联网+调解平台要依托网络大数据和乡镇人社站实施开展具体工作，27个乡镇街道办事处建立基层劳动争议调解组织，要挂牌，要建立调解庭，配备专门办案桌椅、培训专职调解员，做到“六统一五上墙”，需要的经费现在还无法解决。另外由于目前机构改革，乡镇街道（办事处）人社站全部合并，人员经费由乡镇统一管理。就目前情况而言，大部分乡镇工作难以开展，业务办案对接存在困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GYyZWI4MTBhM2E5Y2NlNDJkNTVmZDMwMWQ3NDgifQ=="/>
  </w:docVars>
  <w:rsids>
    <w:rsidRoot w:val="00000000"/>
    <w:rsid w:val="01261A64"/>
    <w:rsid w:val="17A60D45"/>
    <w:rsid w:val="4A6E4502"/>
    <w:rsid w:val="6DE4238C"/>
    <w:rsid w:val="7C3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1283</Words>
  <Characters>1342</Characters>
  <Lines>0</Lines>
  <Paragraphs>0</Paragraphs>
  <TotalTime>6</TotalTime>
  <ScaleCrop>false</ScaleCrop>
  <LinksUpToDate>false</LinksUpToDate>
  <CharactersWithSpaces>1353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2021-12-07T00:42:00Z</dcterms:created>
  <dc:creator>Administrator</dc:creator>
  <cp:lastModifiedBy>Administrator</cp:lastModifiedBy>
  <dcterms:modified xsi:type="dcterms:W3CDTF">2022-08-30T08:38:46Z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1FD63529CA834F61850E29B21BB4FA77</vt:lpwstr>
  </property>
</Properties>
</file>