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bookmarkStart w:id="1" w:name="_GoBack"/>
      <w:bookmarkEnd w:id="1"/>
      <w:r>
        <w:rPr>
          <w:rFonts w:hint="eastAsia" w:ascii="宋体" w:hAnsi="宋体"/>
          <w:b/>
          <w:sz w:val="44"/>
          <w:szCs w:val="44"/>
        </w:rPr>
        <w:t>中共常宁市纪律检查委员会2021年度</w:t>
      </w:r>
    </w:p>
    <w:p>
      <w:pPr>
        <w:spacing w:line="560" w:lineRule="exact"/>
        <w:jc w:val="center"/>
        <w:rPr>
          <w:rFonts w:ascii="宋体" w:hAnsi="宋体"/>
          <w:b/>
          <w:sz w:val="44"/>
          <w:szCs w:val="44"/>
        </w:rPr>
      </w:pPr>
      <w:r>
        <w:rPr>
          <w:rFonts w:hint="eastAsia" w:ascii="宋体" w:hAnsi="宋体"/>
          <w:b/>
          <w:sz w:val="44"/>
          <w:szCs w:val="44"/>
        </w:rPr>
        <w:t>整体支出绩效评价报告</w:t>
      </w:r>
    </w:p>
    <w:p>
      <w:pPr>
        <w:widowControl/>
        <w:spacing w:line="450" w:lineRule="atLeast"/>
        <w:jc w:val="left"/>
        <w:rPr>
          <w:rFonts w:hint="eastAsia" w:ascii="仿宋" w:hAnsi="仿宋" w:eastAsia="仿宋"/>
          <w:sz w:val="32"/>
          <w:szCs w:val="32"/>
        </w:rPr>
      </w:pPr>
    </w:p>
    <w:p>
      <w:pPr>
        <w:widowControl/>
        <w:spacing w:line="450" w:lineRule="atLeast"/>
        <w:ind w:firstLine="640" w:firstLineChars="200"/>
        <w:rPr>
          <w:rFonts w:hint="eastAsia" w:ascii="仿宋" w:hAnsi="仿宋" w:eastAsia="仿宋"/>
          <w:sz w:val="32"/>
          <w:szCs w:val="32"/>
        </w:rPr>
      </w:pPr>
      <w:r>
        <w:rPr>
          <w:rFonts w:hint="eastAsia" w:ascii="仿宋" w:hAnsi="仿宋" w:eastAsia="仿宋"/>
          <w:sz w:val="32"/>
          <w:szCs w:val="32"/>
        </w:rPr>
        <w:t>2021年，常宁市纪委监委坚决贯彻落实党中央关于深化纪检监察体制改革的决策部署，找准职责定位，监督执纪问责，以净化政治生态、服务常宁发展为己任，以“创模范机关、做示范干部”为目标，奋发有为，奋勇争先，开展了卓有成效的工作。经过严格的自查自身，我委自评良好，现将有关工作情况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一、部门概况</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（一）部门职责</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以习近平总书记重要讲话为指导，协调推进“四个全面”战略布局，认真贯彻“党委统一领导，党政齐抓共管，纪委组织协调，部门各负其责，依靠群众的支持和参与”的领导体制和工作机制，积极主动开展工作，为全市的改革、发展、稳定服务。</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2、维护党章、党纪，保证党的路线、方针、政策的贯彻执行；监督检查行政监察对象贯彻执行国家法律、法规以及学校有关规章制度的情况。</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3、协助市委、市政府加强党风廉政建设，开展党风党纪和廉政勤政教育，抓好党风廉政建设责任制的落实。</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4、对市委、市政府及其成员进行党章范围内的监督；对行政监察对象和有关行政职能部门进行行政监察。</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5、受理对党的组织、党员和行政监察对象违法违纪行为的检举、控告。</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6、调查处理党的组织、党员和行政监察对象违法违纪案件与其它重大问题，按照规定提出处理建议，或者决定与取消对党员、行政监察对象的纪律处分。</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7、受理党员不服党纪处分的申诉；受理行政监察对象不服政纪处分的申诉。</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8、做好信访工作，认真处理每一封来信，热情接待每一位来访者，按照分级归口管理原则抓好信访件的承办、转办和督办，及时做好结果反馈工作。</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9、开展超前监督和过程监督，重点加强干部选拔任用、招生考试、大宗物资采购和基建工程项目招投标等方面的监督。</w:t>
      </w:r>
    </w:p>
    <w:p>
      <w:pPr>
        <w:spacing w:line="560" w:lineRule="exact"/>
        <w:ind w:firstLine="643" w:firstLineChars="200"/>
        <w:rPr>
          <w:rFonts w:ascii="楷体" w:hAnsi="楷体" w:eastAsia="楷体" w:cs="宋体"/>
          <w:b/>
          <w:color w:val="000000"/>
          <w:kern w:val="0"/>
          <w:sz w:val="32"/>
          <w:szCs w:val="32"/>
          <w:shd w:val="clear" w:color="auto" w:fill="FFFFFF"/>
          <w:lang w:bidi="ar"/>
        </w:rPr>
      </w:pPr>
      <w:r>
        <w:rPr>
          <w:rFonts w:hint="eastAsia" w:ascii="楷体" w:hAnsi="楷体" w:eastAsia="楷体" w:cs="宋体"/>
          <w:b/>
          <w:color w:val="000000"/>
          <w:kern w:val="0"/>
          <w:sz w:val="32"/>
          <w:szCs w:val="32"/>
          <w:shd w:val="clear" w:color="auto" w:fill="FFFFFF"/>
          <w:lang w:eastAsia="zh-CN" w:bidi="ar"/>
        </w:rPr>
        <w:t>（二）</w:t>
      </w:r>
      <w:r>
        <w:rPr>
          <w:rFonts w:hint="eastAsia" w:ascii="楷体" w:hAnsi="楷体" w:eastAsia="楷体" w:cs="宋体"/>
          <w:b/>
          <w:color w:val="000000"/>
          <w:kern w:val="0"/>
          <w:sz w:val="32"/>
          <w:szCs w:val="32"/>
          <w:shd w:val="clear" w:color="auto" w:fill="FFFFFF"/>
          <w:lang w:bidi="ar"/>
        </w:rPr>
        <w:t>部门机构设置及人员情况</w:t>
      </w:r>
    </w:p>
    <w:p>
      <w:pPr>
        <w:widowControl/>
        <w:spacing w:line="450" w:lineRule="atLeas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根据编委核定，常宁市纪委监委人员编制数为137个，其中行政编制125个、事业编制7个、工勤编制5个；内设处室16个，所属事业单位2个，派驻纪检监察组13个。内设处室分别是：办公室、组织部、宣传部、党风政风监督室、信访室、案件监督管理室、第一至第七纪检监察室、案件审理室、纪检监察干部监督室；所属事业单位分别是：财务监察所、反腐倡廉网站。派驻纪检监察组分别是：驻市委办公室纪检监察组；驻市人大机关纪检监察组；驻市人民政府办公室纪检监察组；驻市政协机关纪检监察组；驻市委组织部纪检监察组；驻市委政法委员会纪检监察组；驻市教育局纪检监察组；驻市卫生和计划生育局纪检监察组；驻市公安局纪检监察组；驻市住房和城乡建设局纪检监察组；驻市农业局纪检监察组；驻市财政局纪检监察组；驻市食品药品工商质量监督管理局纪检监察组。年末实有人数137人，其中：在职118人，退休19人。</w:t>
      </w:r>
    </w:p>
    <w:p>
      <w:pPr>
        <w:numPr>
          <w:ilvl w:val="0"/>
          <w:numId w:val="1"/>
        </w:numPr>
        <w:spacing w:line="560" w:lineRule="exact"/>
        <w:rPr>
          <w:rFonts w:ascii="楷体" w:hAnsi="楷体" w:eastAsia="楷体"/>
          <w:b/>
          <w:sz w:val="32"/>
          <w:szCs w:val="32"/>
        </w:rPr>
      </w:pPr>
      <w:r>
        <w:rPr>
          <w:rFonts w:hint="eastAsia" w:ascii="黑体" w:hAnsi="黑体" w:eastAsia="黑体"/>
          <w:sz w:val="32"/>
          <w:szCs w:val="32"/>
        </w:rPr>
        <w:t>部门收支情况</w:t>
      </w:r>
    </w:p>
    <w:p>
      <w:pPr>
        <w:spacing w:line="560" w:lineRule="exact"/>
        <w:ind w:left="643"/>
        <w:rPr>
          <w:rFonts w:ascii="仿宋" w:hAnsi="仿宋" w:eastAsia="仿宋"/>
          <w:sz w:val="32"/>
          <w:szCs w:val="32"/>
        </w:rPr>
      </w:pPr>
      <w:r>
        <w:rPr>
          <w:rFonts w:hint="eastAsia" w:ascii="楷体" w:hAnsi="楷体" w:eastAsia="楷体"/>
          <w:b/>
          <w:sz w:val="32"/>
          <w:szCs w:val="32"/>
        </w:rPr>
        <w:t>（一）部门整体收入情况</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rPr>
        <w:t>年全年收入合计</w:t>
      </w:r>
      <w:r>
        <w:rPr>
          <w:rFonts w:ascii="仿宋" w:hAnsi="仿宋" w:eastAsia="仿宋" w:cs="仿宋"/>
          <w:sz w:val="32"/>
          <w:szCs w:val="32"/>
        </w:rPr>
        <w:t>2,630.39</w:t>
      </w:r>
      <w:r>
        <w:rPr>
          <w:rFonts w:hint="eastAsia" w:ascii="仿宋" w:hAnsi="仿宋" w:eastAsia="仿宋" w:cs="仿宋"/>
          <w:sz w:val="32"/>
          <w:szCs w:val="32"/>
        </w:rPr>
        <w:t>万元，其中，一般公共预算财政拨款</w:t>
      </w:r>
      <w:r>
        <w:rPr>
          <w:rFonts w:ascii="仿宋" w:hAnsi="仿宋" w:eastAsia="仿宋" w:cs="仿宋"/>
          <w:sz w:val="32"/>
          <w:szCs w:val="32"/>
        </w:rPr>
        <w:t>2,630.39</w:t>
      </w:r>
      <w:r>
        <w:rPr>
          <w:rFonts w:hint="eastAsia" w:ascii="仿宋" w:hAnsi="仿宋" w:eastAsia="仿宋" w:cs="仿宋"/>
          <w:sz w:val="32"/>
          <w:szCs w:val="32"/>
        </w:rPr>
        <w:t>万元，占全年总收入的</w:t>
      </w:r>
      <w:r>
        <w:rPr>
          <w:rFonts w:ascii="仿宋" w:hAnsi="仿宋" w:eastAsia="仿宋" w:cs="仿宋"/>
          <w:sz w:val="32"/>
          <w:szCs w:val="32"/>
        </w:rPr>
        <w:t>100</w:t>
      </w:r>
      <w:r>
        <w:rPr>
          <w:rFonts w:hint="eastAsia" w:ascii="仿宋" w:hAnsi="仿宋" w:eastAsia="仿宋" w:cs="仿宋"/>
          <w:sz w:val="32"/>
          <w:szCs w:val="32"/>
        </w:rPr>
        <w:t>%。</w:t>
      </w:r>
    </w:p>
    <w:p>
      <w:pPr>
        <w:widowControl/>
        <w:numPr>
          <w:ilvl w:val="0"/>
          <w:numId w:val="2"/>
        </w:numPr>
        <w:spacing w:line="560" w:lineRule="exact"/>
        <w:ind w:firstLine="643" w:firstLineChars="200"/>
        <w:rPr>
          <w:rFonts w:ascii="楷体" w:hAnsi="楷体" w:eastAsia="楷体" w:cs="宋体"/>
          <w:b/>
          <w:color w:val="000000"/>
          <w:kern w:val="0"/>
          <w:sz w:val="32"/>
          <w:szCs w:val="32"/>
        </w:rPr>
      </w:pPr>
      <w:r>
        <w:rPr>
          <w:rFonts w:hint="eastAsia" w:ascii="楷体" w:hAnsi="楷体" w:eastAsia="楷体" w:cs="宋体"/>
          <w:b/>
          <w:color w:val="000000"/>
          <w:kern w:val="0"/>
          <w:sz w:val="32"/>
          <w:szCs w:val="32"/>
        </w:rPr>
        <w:t>部门整体支出情况</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rPr>
        <w:t>年全年支出合计</w:t>
      </w:r>
      <w:bookmarkStart w:id="0" w:name="_Hlk112442406"/>
      <w:r>
        <w:rPr>
          <w:rFonts w:ascii="仿宋" w:hAnsi="仿宋" w:eastAsia="仿宋" w:cs="仿宋"/>
          <w:sz w:val="32"/>
          <w:szCs w:val="32"/>
        </w:rPr>
        <w:t>2,630.39</w:t>
      </w:r>
      <w:bookmarkEnd w:id="0"/>
      <w:r>
        <w:rPr>
          <w:rFonts w:hint="eastAsia" w:ascii="仿宋" w:hAnsi="仿宋" w:eastAsia="仿宋" w:cs="仿宋"/>
          <w:sz w:val="32"/>
          <w:szCs w:val="32"/>
        </w:rPr>
        <w:t>万元，其中基本支出</w:t>
      </w:r>
      <w:r>
        <w:rPr>
          <w:rFonts w:ascii="仿宋" w:hAnsi="仿宋" w:eastAsia="仿宋" w:cs="仿宋"/>
          <w:sz w:val="32"/>
          <w:szCs w:val="32"/>
        </w:rPr>
        <w:t>2,395.20</w:t>
      </w:r>
      <w:r>
        <w:rPr>
          <w:rFonts w:hint="eastAsia" w:ascii="仿宋" w:hAnsi="仿宋" w:eastAsia="仿宋" w:cs="仿宋"/>
          <w:sz w:val="32"/>
          <w:szCs w:val="32"/>
        </w:rPr>
        <w:t>万元，占总支出的</w:t>
      </w:r>
      <w:r>
        <w:rPr>
          <w:rFonts w:ascii="仿宋" w:hAnsi="仿宋" w:eastAsia="仿宋" w:cs="仿宋"/>
          <w:sz w:val="32"/>
          <w:szCs w:val="32"/>
        </w:rPr>
        <w:t>91.06</w:t>
      </w:r>
      <w:r>
        <w:rPr>
          <w:rFonts w:hint="eastAsia" w:ascii="仿宋" w:hAnsi="仿宋" w:eastAsia="仿宋" w:cs="仿宋"/>
          <w:sz w:val="32"/>
          <w:szCs w:val="32"/>
        </w:rPr>
        <w:t>%，；项目支出</w:t>
      </w:r>
      <w:r>
        <w:rPr>
          <w:rFonts w:ascii="仿宋" w:hAnsi="仿宋" w:eastAsia="仿宋" w:cs="仿宋"/>
          <w:sz w:val="32"/>
          <w:szCs w:val="32"/>
        </w:rPr>
        <w:t>235.19</w:t>
      </w:r>
      <w:r>
        <w:rPr>
          <w:rFonts w:hint="eastAsia" w:ascii="仿宋" w:hAnsi="仿宋" w:eastAsia="仿宋" w:cs="仿宋"/>
          <w:sz w:val="32"/>
          <w:szCs w:val="32"/>
        </w:rPr>
        <w:t>万元，占总支出的</w:t>
      </w:r>
      <w:r>
        <w:rPr>
          <w:rFonts w:ascii="仿宋" w:hAnsi="仿宋" w:eastAsia="仿宋" w:cs="仿宋"/>
          <w:sz w:val="32"/>
          <w:szCs w:val="32"/>
        </w:rPr>
        <w:t>8.94</w:t>
      </w:r>
      <w:r>
        <w:rPr>
          <w:rFonts w:hint="eastAsia" w:ascii="仿宋" w:hAnsi="仿宋" w:eastAsia="仿宋" w:cs="仿宋"/>
          <w:sz w:val="32"/>
          <w:szCs w:val="32"/>
        </w:rPr>
        <w:t>%。</w:t>
      </w:r>
    </w:p>
    <w:p>
      <w:pPr>
        <w:spacing w:line="560" w:lineRule="exact"/>
        <w:ind w:firstLine="643" w:firstLineChars="200"/>
        <w:rPr>
          <w:rFonts w:ascii="仿宋_GB2312" w:hAnsi="宋体" w:eastAsia="仿宋_GB2312" w:cs="宋体"/>
          <w:color w:val="000000"/>
          <w:kern w:val="0"/>
          <w:sz w:val="32"/>
          <w:szCs w:val="32"/>
        </w:rPr>
      </w:pPr>
      <w:r>
        <w:rPr>
          <w:rFonts w:hint="eastAsia" w:ascii="楷体" w:hAnsi="楷体" w:eastAsia="楷体" w:cs="宋体"/>
          <w:b/>
          <w:color w:val="000000"/>
          <w:kern w:val="0"/>
          <w:sz w:val="32"/>
          <w:szCs w:val="32"/>
        </w:rPr>
        <w:t>（三）资金使用方向</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2021年度本单位财政拨款收入</w:t>
      </w:r>
      <w:r>
        <w:rPr>
          <w:rFonts w:ascii="仿宋" w:hAnsi="仿宋" w:eastAsia="仿宋" w:cs="仿宋"/>
          <w:sz w:val="32"/>
          <w:szCs w:val="32"/>
        </w:rPr>
        <w:t>2,630.39</w:t>
      </w:r>
      <w:r>
        <w:rPr>
          <w:rFonts w:hint="eastAsia" w:ascii="仿宋" w:hAnsi="仿宋" w:eastAsia="仿宋" w:cs="仿宋"/>
          <w:sz w:val="32"/>
          <w:szCs w:val="32"/>
        </w:rPr>
        <w:t>万元。2021年度本单位总支出</w:t>
      </w:r>
      <w:r>
        <w:rPr>
          <w:rFonts w:ascii="仿宋" w:hAnsi="仿宋" w:eastAsia="仿宋" w:cs="仿宋"/>
          <w:sz w:val="32"/>
          <w:szCs w:val="32"/>
        </w:rPr>
        <w:t>2,630.39</w:t>
      </w:r>
      <w:r>
        <w:rPr>
          <w:rFonts w:hint="eastAsia" w:ascii="仿宋" w:hAnsi="仿宋" w:eastAsia="仿宋" w:cs="仿宋"/>
          <w:sz w:val="32"/>
          <w:szCs w:val="32"/>
        </w:rPr>
        <w:t>万元，其中，一般公共服务支出为</w:t>
      </w:r>
      <w:r>
        <w:rPr>
          <w:rFonts w:ascii="仿宋" w:hAnsi="仿宋" w:eastAsia="仿宋" w:cs="仿宋"/>
          <w:sz w:val="32"/>
          <w:szCs w:val="32"/>
        </w:rPr>
        <w:t>2,346.60</w:t>
      </w:r>
      <w:r>
        <w:rPr>
          <w:rFonts w:hint="eastAsia" w:ascii="仿宋" w:hAnsi="仿宋" w:eastAsia="仿宋" w:cs="仿宋"/>
          <w:sz w:val="32"/>
          <w:szCs w:val="32"/>
        </w:rPr>
        <w:t>万元,社会保障和就业支出</w:t>
      </w:r>
      <w:r>
        <w:rPr>
          <w:rFonts w:ascii="仿宋" w:hAnsi="仿宋" w:eastAsia="仿宋" w:cs="仿宋"/>
          <w:sz w:val="32"/>
          <w:szCs w:val="32"/>
        </w:rPr>
        <w:t>189.08</w:t>
      </w:r>
      <w:r>
        <w:rPr>
          <w:rFonts w:hint="eastAsia" w:ascii="仿宋" w:hAnsi="仿宋" w:eastAsia="仿宋" w:cs="仿宋"/>
          <w:sz w:val="32"/>
          <w:szCs w:val="32"/>
        </w:rPr>
        <w:t>万元，卫生健康支出为</w:t>
      </w:r>
      <w:r>
        <w:rPr>
          <w:rFonts w:ascii="仿宋" w:hAnsi="仿宋" w:eastAsia="仿宋" w:cs="仿宋"/>
          <w:sz w:val="32"/>
          <w:szCs w:val="32"/>
        </w:rPr>
        <w:t>20.30</w:t>
      </w:r>
      <w:r>
        <w:rPr>
          <w:rFonts w:hint="eastAsia" w:ascii="仿宋" w:hAnsi="仿宋" w:eastAsia="仿宋" w:cs="仿宋"/>
          <w:sz w:val="32"/>
          <w:szCs w:val="32"/>
        </w:rPr>
        <w:t>万元，住房保障支出</w:t>
      </w:r>
      <w:r>
        <w:rPr>
          <w:rFonts w:ascii="仿宋" w:hAnsi="仿宋" w:eastAsia="仿宋" w:cs="仿宋"/>
          <w:sz w:val="32"/>
          <w:szCs w:val="32"/>
        </w:rPr>
        <w:t>74.41</w:t>
      </w:r>
      <w:r>
        <w:rPr>
          <w:rFonts w:hint="eastAsia" w:ascii="仿宋" w:hAnsi="仿宋" w:eastAsia="仿宋" w:cs="仿宋"/>
          <w:sz w:val="32"/>
          <w:szCs w:val="32"/>
        </w:rPr>
        <w:t>万元。</w:t>
      </w:r>
    </w:p>
    <w:p>
      <w:pPr>
        <w:spacing w:line="560" w:lineRule="exact"/>
        <w:ind w:firstLine="643" w:firstLineChars="200"/>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（四）基本支出</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2021年基本支出为</w:t>
      </w:r>
      <w:r>
        <w:rPr>
          <w:rFonts w:ascii="仿宋" w:hAnsi="仿宋" w:eastAsia="仿宋" w:cs="仿宋"/>
          <w:sz w:val="32"/>
          <w:szCs w:val="32"/>
        </w:rPr>
        <w:t>2,395.20</w:t>
      </w:r>
      <w:r>
        <w:rPr>
          <w:rFonts w:hint="eastAsia" w:ascii="仿宋" w:hAnsi="仿宋" w:eastAsia="仿宋" w:cs="仿宋"/>
          <w:sz w:val="32"/>
          <w:szCs w:val="32"/>
        </w:rPr>
        <w:t>万元，系保障本委机构正常运转，完成日常工作任务而发生的各项支出。其中：用于在职基本工资、津补贴等人员经费支出为</w:t>
      </w:r>
      <w:r>
        <w:rPr>
          <w:rFonts w:ascii="仿宋" w:hAnsi="仿宋" w:eastAsia="仿宋" w:cs="仿宋"/>
          <w:sz w:val="32"/>
          <w:szCs w:val="32"/>
        </w:rPr>
        <w:t>1,673.55</w:t>
      </w:r>
      <w:r>
        <w:rPr>
          <w:rFonts w:hint="eastAsia" w:ascii="仿宋" w:hAnsi="仿宋" w:eastAsia="仿宋" w:cs="仿宋"/>
          <w:sz w:val="32"/>
          <w:szCs w:val="32"/>
        </w:rPr>
        <w:t>万元；用于办公费、印刷费、水电费等日常公用经费等支出为</w:t>
      </w:r>
      <w:r>
        <w:rPr>
          <w:rFonts w:ascii="仿宋" w:hAnsi="仿宋" w:eastAsia="仿宋" w:cs="仿宋"/>
          <w:sz w:val="32"/>
          <w:szCs w:val="32"/>
        </w:rPr>
        <w:t>721.65</w:t>
      </w:r>
      <w:r>
        <w:rPr>
          <w:rFonts w:hint="eastAsia" w:ascii="仿宋" w:hAnsi="仿宋" w:eastAsia="仿宋" w:cs="仿宋"/>
          <w:sz w:val="32"/>
          <w:szCs w:val="32"/>
        </w:rPr>
        <w:t>万元。</w:t>
      </w:r>
    </w:p>
    <w:p>
      <w:pPr>
        <w:spacing w:line="560" w:lineRule="exact"/>
        <w:ind w:firstLine="643" w:firstLineChars="200"/>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（五）项目支出</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2021年项目支出为</w:t>
      </w:r>
      <w:r>
        <w:rPr>
          <w:rFonts w:ascii="仿宋" w:hAnsi="仿宋" w:eastAsia="仿宋" w:cs="仿宋"/>
          <w:sz w:val="32"/>
          <w:szCs w:val="32"/>
        </w:rPr>
        <w:t>235.19</w:t>
      </w:r>
      <w:r>
        <w:rPr>
          <w:rFonts w:hint="eastAsia" w:ascii="仿宋" w:hAnsi="仿宋" w:eastAsia="仿宋" w:cs="仿宋"/>
          <w:sz w:val="32"/>
          <w:szCs w:val="32"/>
        </w:rPr>
        <w:t>万元，系本委查办案件过程中发生的支出。</w:t>
      </w:r>
    </w:p>
    <w:p>
      <w:pPr>
        <w:spacing w:line="560" w:lineRule="exact"/>
        <w:ind w:firstLine="643" w:firstLineChars="200"/>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（六）“三公”经费支出</w:t>
      </w:r>
    </w:p>
    <w:p>
      <w:pPr>
        <w:widowControl/>
        <w:spacing w:line="56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rPr>
        <w:t>2021年度三公经费支出为</w:t>
      </w:r>
      <w:r>
        <w:rPr>
          <w:rFonts w:ascii="仿宋" w:hAnsi="仿宋" w:eastAsia="仿宋" w:cs="仿宋"/>
          <w:sz w:val="32"/>
          <w:szCs w:val="32"/>
        </w:rPr>
        <w:t>29.26</w:t>
      </w:r>
      <w:r>
        <w:rPr>
          <w:rFonts w:hint="eastAsia" w:ascii="仿宋" w:hAnsi="仿宋" w:eastAsia="仿宋" w:cs="仿宋"/>
          <w:sz w:val="32"/>
          <w:szCs w:val="32"/>
        </w:rPr>
        <w:t>万元，其中：公务用车运行维护费支出</w:t>
      </w:r>
      <w:r>
        <w:rPr>
          <w:rFonts w:ascii="仿宋" w:hAnsi="仿宋" w:eastAsia="仿宋" w:cs="仿宋"/>
          <w:sz w:val="32"/>
          <w:szCs w:val="32"/>
        </w:rPr>
        <w:t>11.63</w:t>
      </w:r>
      <w:r>
        <w:rPr>
          <w:rFonts w:hint="eastAsia" w:ascii="仿宋" w:hAnsi="仿宋" w:eastAsia="仿宋" w:cs="仿宋"/>
          <w:sz w:val="32"/>
          <w:szCs w:val="32"/>
        </w:rPr>
        <w:t>万元，公务接待费支出</w:t>
      </w:r>
      <w:r>
        <w:rPr>
          <w:rFonts w:ascii="仿宋" w:hAnsi="仿宋" w:eastAsia="仿宋" w:cs="仿宋"/>
          <w:sz w:val="32"/>
          <w:szCs w:val="32"/>
        </w:rPr>
        <w:t>17.63</w:t>
      </w:r>
      <w:r>
        <w:rPr>
          <w:rFonts w:hint="eastAsia" w:ascii="仿宋" w:hAnsi="仿宋" w:eastAsia="仿宋" w:cs="仿宋"/>
          <w:sz w:val="32"/>
          <w:szCs w:val="32"/>
        </w:rPr>
        <w:t>万元。</w:t>
      </w:r>
    </w:p>
    <w:p>
      <w:pPr>
        <w:numPr>
          <w:ilvl w:val="0"/>
          <w:numId w:val="1"/>
        </w:numPr>
        <w:spacing w:line="560" w:lineRule="exact"/>
        <w:rPr>
          <w:rFonts w:hint="eastAsia" w:ascii="黑体" w:hAnsi="黑体" w:eastAsia="黑体"/>
          <w:sz w:val="32"/>
          <w:szCs w:val="32"/>
        </w:rPr>
      </w:pPr>
      <w:r>
        <w:rPr>
          <w:rFonts w:hint="eastAsia" w:ascii="黑体" w:hAnsi="黑体" w:eastAsia="黑体"/>
          <w:sz w:val="32"/>
          <w:szCs w:val="32"/>
        </w:rPr>
        <w:t>建立健全绩效评估工作机构</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我委高度重视绩效评估工作，成立了以常务副书记、副主任</w:t>
      </w:r>
      <w:r>
        <w:rPr>
          <w:rFonts w:hint="eastAsia" w:ascii="仿宋" w:hAnsi="仿宋" w:eastAsia="仿宋" w:cs="仿宋"/>
          <w:sz w:val="32"/>
          <w:szCs w:val="32"/>
          <w:lang w:eastAsia="zh-CN"/>
        </w:rPr>
        <w:t>谭方平</w:t>
      </w:r>
      <w:r>
        <w:rPr>
          <w:rFonts w:hint="eastAsia" w:ascii="仿宋" w:hAnsi="仿宋" w:eastAsia="仿宋" w:cs="仿宋"/>
          <w:sz w:val="32"/>
          <w:szCs w:val="32"/>
        </w:rPr>
        <w:t>同志任组长，其他班子成员为成员的绩效评估领导小组，并将指标任务分解到岗到人，明确办公室主任为绩效评估联络员，定期召开专题会，研究绩效评估和重点工作推进情况，确保全年任务如期完成。</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四、常宁市纪委监委整体支出绩效情况</w:t>
      </w:r>
    </w:p>
    <w:p>
      <w:pPr>
        <w:widowControl/>
        <w:spacing w:line="450" w:lineRule="atLeast"/>
        <w:ind w:firstLine="560"/>
        <w:jc w:val="left"/>
        <w:rPr>
          <w:rFonts w:hint="eastAsia" w:ascii="楷体" w:hAnsi="楷体" w:eastAsia="楷体"/>
          <w:b/>
          <w:bCs/>
          <w:sz w:val="32"/>
          <w:szCs w:val="32"/>
        </w:rPr>
      </w:pPr>
      <w:r>
        <w:rPr>
          <w:rFonts w:hint="eastAsia" w:ascii="楷体" w:hAnsi="楷体" w:eastAsia="楷体"/>
          <w:b/>
          <w:sz w:val="32"/>
          <w:szCs w:val="32"/>
        </w:rPr>
        <w:t>（一）2021年常宁市纪委监委</w:t>
      </w:r>
      <w:r>
        <w:rPr>
          <w:rFonts w:hint="eastAsia" w:ascii="楷体" w:hAnsi="楷体" w:eastAsia="楷体"/>
          <w:b/>
          <w:bCs/>
          <w:sz w:val="32"/>
          <w:szCs w:val="32"/>
        </w:rPr>
        <w:t>整体支出绩效目标设定及指标设置情况</w:t>
      </w:r>
    </w:p>
    <w:p>
      <w:pPr>
        <w:widowControl/>
        <w:spacing w:line="450" w:lineRule="atLeast"/>
        <w:ind w:firstLine="560"/>
        <w:jc w:val="left"/>
        <w:rPr>
          <w:rFonts w:hint="eastAsia" w:ascii="仿宋" w:hAnsi="仿宋" w:eastAsia="仿宋" w:cs="仿宋"/>
          <w:sz w:val="32"/>
          <w:szCs w:val="32"/>
        </w:rPr>
      </w:pPr>
      <w:r>
        <w:rPr>
          <w:rFonts w:hint="eastAsia" w:ascii="仿宋" w:hAnsi="仿宋" w:eastAsia="仿宋" w:cs="仿宋"/>
          <w:sz w:val="32"/>
          <w:szCs w:val="32"/>
        </w:rPr>
        <w:t>目标1：基本支出保单位正常运转，发放到位</w:t>
      </w:r>
    </w:p>
    <w:p>
      <w:pPr>
        <w:widowControl/>
        <w:spacing w:line="450" w:lineRule="atLeast"/>
        <w:ind w:firstLine="560"/>
        <w:jc w:val="left"/>
        <w:rPr>
          <w:rFonts w:hint="eastAsia" w:ascii="仿宋" w:hAnsi="仿宋" w:eastAsia="仿宋" w:cs="仿宋"/>
          <w:sz w:val="32"/>
          <w:szCs w:val="32"/>
        </w:rPr>
      </w:pPr>
      <w:r>
        <w:rPr>
          <w:rFonts w:hint="eastAsia" w:ascii="仿宋" w:hAnsi="仿宋" w:eastAsia="仿宋" w:cs="仿宋"/>
          <w:sz w:val="32"/>
          <w:szCs w:val="32"/>
        </w:rPr>
        <w:t>完成情况：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个人和家庭补助、社会保障缴费（医疗保险、工伤保险、职业年金、养老保险等）、基本工资和津补贴、奖金等工资福利支出都发放到位；商品和服务支出，维持单位基本开支，电费、水费、办公费、“三公”经费等不超标，公务接待按规定标准予以接待，倡导节俭精神。</w:t>
      </w:r>
      <w:r>
        <w:rPr>
          <w:rFonts w:ascii="仿宋" w:hAnsi="仿宋" w:eastAsia="仿宋"/>
          <w:sz w:val="32"/>
          <w:szCs w:val="32"/>
        </w:rPr>
        <w:tab/>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目标2：项目支出切实用在项目上</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确保全面完成了职责范围内的工作：监督检查行政监察对象贯彻执行国家法律、法规以及学校有关规章制度的情况；协助市委、市政府加强党风廉政建设，开展党风党纪和廉政勤政教育，抓好党风廉政建设责任制的落实；对市委、市政府及其成员进行党章范围内的监督；对行政监察对象和有关行政职能部门进行行政监察；受理对党的组织、党员和行政监察对象违法违纪行为的检举、控告；调查处理党的组织、党员和行政监察对象违法违纪案件与其它重大问题；受理党员不服党纪处分的申诉；受理行政监察对象不服政纪处分的申诉；做好信访工作，及时做好结果反馈工作。开展超前监督和过程监督。取得了良好的社会效益和经济效益。</w:t>
      </w:r>
    </w:p>
    <w:p>
      <w:pPr>
        <w:widowControl/>
        <w:spacing w:line="450" w:lineRule="atLeast"/>
        <w:ind w:firstLine="560"/>
        <w:jc w:val="left"/>
        <w:rPr>
          <w:rFonts w:hint="eastAsia" w:ascii="楷体" w:hAnsi="楷体" w:eastAsia="楷体"/>
          <w:b/>
          <w:bCs/>
          <w:sz w:val="32"/>
          <w:szCs w:val="32"/>
        </w:rPr>
      </w:pPr>
      <w:r>
        <w:rPr>
          <w:rFonts w:hint="eastAsia" w:ascii="楷体" w:hAnsi="楷体" w:eastAsia="楷体"/>
          <w:b/>
          <w:sz w:val="32"/>
          <w:szCs w:val="32"/>
        </w:rPr>
        <w:t>（二）202</w:t>
      </w:r>
      <w:r>
        <w:rPr>
          <w:rFonts w:ascii="楷体" w:hAnsi="楷体" w:eastAsia="楷体"/>
          <w:b/>
          <w:sz w:val="32"/>
          <w:szCs w:val="32"/>
        </w:rPr>
        <w:t>1</w:t>
      </w:r>
      <w:r>
        <w:rPr>
          <w:rFonts w:hint="eastAsia" w:ascii="楷体" w:hAnsi="楷体" w:eastAsia="楷体"/>
          <w:b/>
          <w:sz w:val="32"/>
          <w:szCs w:val="32"/>
        </w:rPr>
        <w:t>年常宁市纪委监委</w:t>
      </w:r>
      <w:r>
        <w:rPr>
          <w:rFonts w:hint="eastAsia" w:ascii="楷体" w:hAnsi="楷体" w:eastAsia="楷体"/>
          <w:b/>
          <w:bCs/>
          <w:sz w:val="32"/>
          <w:szCs w:val="32"/>
        </w:rPr>
        <w:t>支出绩效目标实现情况和指标完成情况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2021年，在上级纪委监委和常宁市委的正确领导下，我委的工作不断完善、提升，在收支预算内圆满完成了以上整体目标。</w:t>
      </w:r>
    </w:p>
    <w:p>
      <w:pPr>
        <w:widowControl/>
        <w:spacing w:line="450" w:lineRule="atLeast"/>
        <w:ind w:firstLine="560"/>
        <w:jc w:val="left"/>
        <w:rPr>
          <w:rFonts w:hint="eastAsia" w:ascii="楷体" w:hAnsi="楷体" w:eastAsia="楷体"/>
          <w:b/>
          <w:bCs/>
          <w:sz w:val="32"/>
          <w:szCs w:val="32"/>
        </w:rPr>
      </w:pPr>
      <w:r>
        <w:rPr>
          <w:rFonts w:hint="eastAsia" w:ascii="楷体" w:hAnsi="楷体" w:eastAsia="楷体"/>
          <w:b/>
          <w:sz w:val="32"/>
          <w:szCs w:val="32"/>
        </w:rPr>
        <w:t>（三）未实现既定绩效目标或完成指标任务的分析说明</w:t>
      </w:r>
    </w:p>
    <w:p>
      <w:pPr>
        <w:widowControl/>
        <w:spacing w:line="450" w:lineRule="atLeast"/>
        <w:ind w:firstLine="560"/>
        <w:jc w:val="left"/>
        <w:rPr>
          <w:rFonts w:hint="eastAsia" w:ascii="仿宋" w:hAnsi="仿宋" w:eastAsia="仿宋" w:cs="仿宋"/>
          <w:sz w:val="32"/>
          <w:szCs w:val="32"/>
        </w:rPr>
      </w:pPr>
      <w:r>
        <w:rPr>
          <w:rFonts w:hint="eastAsia" w:ascii="仿宋" w:hAnsi="仿宋" w:eastAsia="仿宋" w:cs="仿宋"/>
          <w:sz w:val="32"/>
          <w:szCs w:val="32"/>
        </w:rPr>
        <w:t>常宁市纪委监委既定绩效目标均已完成。</w:t>
      </w:r>
    </w:p>
    <w:p>
      <w:pPr>
        <w:numPr>
          <w:ilvl w:val="0"/>
          <w:numId w:val="0"/>
        </w:numPr>
        <w:spacing w:line="560" w:lineRule="exact"/>
        <w:ind w:left="640" w:leftChars="0"/>
        <w:rPr>
          <w:rFonts w:hint="eastAsia" w:ascii="黑体" w:hAnsi="黑体" w:eastAsia="黑体" w:cs="Times New Roman"/>
          <w:sz w:val="32"/>
          <w:szCs w:val="32"/>
        </w:rPr>
      </w:pPr>
      <w:r>
        <w:rPr>
          <w:rFonts w:hint="eastAsia" w:ascii="黑体" w:hAnsi="黑体" w:eastAsia="黑体" w:cs="Times New Roman"/>
          <w:sz w:val="32"/>
          <w:szCs w:val="32"/>
        </w:rPr>
        <w:t>五、存在的主要问题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多年来，我委存在的问题是预算控制率有待提高，一是项目经费预算不足，每年需要用部分非税收入弥补基本支出不足部分；二是年初预算时一些无法预计的工作开展和上级交办任务的突发性，导致需要调整预算。</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六、改进措施和有关建议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建议继续加大对纪检监察工作经费的投入，特别是在市财政局制定年初预算方案时，调整公用经费以增加单位基本支出的预算比率，将部分经常性专项经费纳入预算。</w:t>
      </w:r>
    </w:p>
    <w:p>
      <w:pPr>
        <w:spacing w:line="560" w:lineRule="exact"/>
        <w:ind w:firstLine="640" w:firstLineChars="200"/>
        <w:rPr>
          <w:rFonts w:hint="eastAsia" w:ascii="仿宋" w:hAnsi="仿宋" w:eastAsia="仿宋" w:cs="仿宋"/>
          <w:sz w:val="32"/>
          <w:szCs w:val="32"/>
        </w:rPr>
      </w:pPr>
    </w:p>
    <w:p>
      <w:pPr>
        <w:widowControl/>
        <w:spacing w:line="450" w:lineRule="atLeast"/>
        <w:jc w:val="left"/>
        <w:rPr>
          <w:rFonts w:hint="eastAsia" w:ascii="宋体" w:hAnsi="宋体" w:cs="宋体"/>
          <w:color w:val="000000"/>
          <w:kern w:val="0"/>
          <w:sz w:val="28"/>
          <w:szCs w:val="28"/>
        </w:rPr>
      </w:pPr>
    </w:p>
    <w:p>
      <w:pPr>
        <w:widowControl/>
        <w:spacing w:line="450" w:lineRule="atLeast"/>
        <w:ind w:right="560" w:firstLine="560"/>
        <w:jc w:val="righ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中共</w:t>
      </w:r>
      <w:r>
        <w:rPr>
          <w:rFonts w:hint="eastAsia" w:ascii="宋体" w:hAnsi="宋体" w:cs="宋体"/>
          <w:color w:val="000000"/>
          <w:kern w:val="0"/>
          <w:sz w:val="28"/>
          <w:szCs w:val="28"/>
        </w:rPr>
        <w:t>常宁市纪委</w:t>
      </w:r>
      <w:r>
        <w:rPr>
          <w:rFonts w:hint="eastAsia" w:ascii="宋体" w:hAnsi="宋体" w:cs="宋体"/>
          <w:color w:val="000000"/>
          <w:kern w:val="0"/>
          <w:sz w:val="28"/>
          <w:szCs w:val="28"/>
          <w:lang w:eastAsia="zh-CN"/>
        </w:rPr>
        <w:t>检查委员会</w:t>
      </w:r>
    </w:p>
    <w:p>
      <w:pPr>
        <w:widowControl/>
        <w:spacing w:line="450" w:lineRule="atLeast"/>
        <w:ind w:firstLine="560"/>
        <w:jc w:val="center"/>
        <w:rPr>
          <w:rFonts w:hint="default" w:ascii="宋体" w:hAnsi="宋体" w:cs="宋体"/>
          <w:color w:val="000000"/>
          <w:kern w:val="0"/>
          <w:sz w:val="28"/>
          <w:szCs w:val="28"/>
          <w:lang w:val="en-US"/>
        </w:rPr>
      </w:pPr>
      <w:r>
        <w:rPr>
          <w:rFonts w:hint="eastAsia" w:ascii="宋体" w:hAnsi="宋体" w:cs="宋体"/>
          <w:color w:val="000000"/>
          <w:kern w:val="0"/>
          <w:sz w:val="28"/>
          <w:szCs w:val="28"/>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29F2AC"/>
    <w:multiLevelType w:val="singleLevel"/>
    <w:tmpl w:val="5A29F2AC"/>
    <w:lvl w:ilvl="0" w:tentative="0">
      <w:start w:val="2"/>
      <w:numFmt w:val="chineseCounting"/>
      <w:suff w:val="nothing"/>
      <w:lvlText w:val="（%1）"/>
      <w:lvlJc w:val="left"/>
    </w:lvl>
  </w:abstractNum>
  <w:abstractNum w:abstractNumId="1">
    <w:nsid w:val="77D03877"/>
    <w:multiLevelType w:val="multilevel"/>
    <w:tmpl w:val="77D03877"/>
    <w:lvl w:ilvl="0" w:tentative="0">
      <w:start w:val="2"/>
      <w:numFmt w:val="japaneseCounting"/>
      <w:lvlText w:val="%1、"/>
      <w:lvlJc w:val="left"/>
      <w:pPr>
        <w:ind w:left="1360" w:hanging="720"/>
      </w:pPr>
      <w:rPr>
        <w:rFonts w:hint="default" w:ascii="黑体" w:hAnsi="黑体" w:eastAsia="黑体" w:cs="宋体"/>
        <w:b w:val="0"/>
        <w:color w:val="00000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BD"/>
    <w:rsid w:val="000F599F"/>
    <w:rsid w:val="001722D3"/>
    <w:rsid w:val="0019688F"/>
    <w:rsid w:val="002216FE"/>
    <w:rsid w:val="00260A60"/>
    <w:rsid w:val="00263737"/>
    <w:rsid w:val="00317757"/>
    <w:rsid w:val="00425898"/>
    <w:rsid w:val="004530F0"/>
    <w:rsid w:val="00464EA9"/>
    <w:rsid w:val="004F5D06"/>
    <w:rsid w:val="005342BD"/>
    <w:rsid w:val="005354C5"/>
    <w:rsid w:val="00631D1F"/>
    <w:rsid w:val="00657FC1"/>
    <w:rsid w:val="00776211"/>
    <w:rsid w:val="007A0B7B"/>
    <w:rsid w:val="007F6B96"/>
    <w:rsid w:val="00910A6B"/>
    <w:rsid w:val="009603BD"/>
    <w:rsid w:val="009B5FE0"/>
    <w:rsid w:val="009C533B"/>
    <w:rsid w:val="00A00271"/>
    <w:rsid w:val="00A07C98"/>
    <w:rsid w:val="00A2078D"/>
    <w:rsid w:val="00AD2E23"/>
    <w:rsid w:val="00B3179D"/>
    <w:rsid w:val="00B95A7E"/>
    <w:rsid w:val="00C52A6D"/>
    <w:rsid w:val="00C9771B"/>
    <w:rsid w:val="00CB112C"/>
    <w:rsid w:val="00CC5C7D"/>
    <w:rsid w:val="00D33F7A"/>
    <w:rsid w:val="00DA6A14"/>
    <w:rsid w:val="00DE499A"/>
    <w:rsid w:val="00F36892"/>
    <w:rsid w:val="00F6516F"/>
    <w:rsid w:val="00F65B89"/>
    <w:rsid w:val="00FF6305"/>
    <w:rsid w:val="01487692"/>
    <w:rsid w:val="052831FD"/>
    <w:rsid w:val="0584513F"/>
    <w:rsid w:val="05F7773B"/>
    <w:rsid w:val="07A07889"/>
    <w:rsid w:val="0CA65F62"/>
    <w:rsid w:val="0E022B3C"/>
    <w:rsid w:val="0E702D15"/>
    <w:rsid w:val="153A27A0"/>
    <w:rsid w:val="15D04A0F"/>
    <w:rsid w:val="173079F6"/>
    <w:rsid w:val="18D85D30"/>
    <w:rsid w:val="18F22F75"/>
    <w:rsid w:val="1979579A"/>
    <w:rsid w:val="19D35EC4"/>
    <w:rsid w:val="1AB26A46"/>
    <w:rsid w:val="1C3E4027"/>
    <w:rsid w:val="1C77007C"/>
    <w:rsid w:val="1CBF7D8A"/>
    <w:rsid w:val="1DD445C6"/>
    <w:rsid w:val="1DE23870"/>
    <w:rsid w:val="1EA20EBF"/>
    <w:rsid w:val="20800C64"/>
    <w:rsid w:val="231859A1"/>
    <w:rsid w:val="26D10192"/>
    <w:rsid w:val="29D83D5F"/>
    <w:rsid w:val="2F51732D"/>
    <w:rsid w:val="2FD841DA"/>
    <w:rsid w:val="30EA2439"/>
    <w:rsid w:val="396476C5"/>
    <w:rsid w:val="3BB40363"/>
    <w:rsid w:val="3E2B3064"/>
    <w:rsid w:val="3F457AE5"/>
    <w:rsid w:val="3FAE3385"/>
    <w:rsid w:val="40AA7227"/>
    <w:rsid w:val="40F00E98"/>
    <w:rsid w:val="43497044"/>
    <w:rsid w:val="46FF7B85"/>
    <w:rsid w:val="4B9A6094"/>
    <w:rsid w:val="51344B6E"/>
    <w:rsid w:val="545417B8"/>
    <w:rsid w:val="54621809"/>
    <w:rsid w:val="5DC5532F"/>
    <w:rsid w:val="5DE52493"/>
    <w:rsid w:val="5EBD7B38"/>
    <w:rsid w:val="60C5321F"/>
    <w:rsid w:val="615F7A04"/>
    <w:rsid w:val="618D147C"/>
    <w:rsid w:val="61B2587B"/>
    <w:rsid w:val="655033E9"/>
    <w:rsid w:val="697D6043"/>
    <w:rsid w:val="6A594CC3"/>
    <w:rsid w:val="6BEB3249"/>
    <w:rsid w:val="6E2A64CD"/>
    <w:rsid w:val="75002F59"/>
    <w:rsid w:val="75896989"/>
    <w:rsid w:val="78551873"/>
    <w:rsid w:val="787D79C9"/>
    <w:rsid w:val="7EED4E3A"/>
    <w:rsid w:val="7FB7598B"/>
    <w:rsid w:val="7FE7156F"/>
    <w:rsid w:val="AD1EA6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uiPriority w:val="99"/>
    <w:rPr>
      <w:kern w:val="2"/>
      <w:sz w:val="18"/>
      <w:szCs w:val="18"/>
    </w:rPr>
  </w:style>
  <w:style w:type="character" w:customStyle="1" w:styleId="7">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2414</Words>
  <Characters>2576</Characters>
  <Lines>18</Lines>
  <Paragraphs>5</Paragraphs>
  <TotalTime>6.66666666666667</TotalTime>
  <ScaleCrop>false</ScaleCrop>
  <LinksUpToDate>false</LinksUpToDate>
  <CharactersWithSpaces>2597</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信息办</cp:lastModifiedBy>
  <cp:lastPrinted>2021-07-15T01:04:00Z</cp:lastPrinted>
  <dcterms:modified xsi:type="dcterms:W3CDTF">2022-09-01T08:15:14Z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CB207BB47CA945E2952F61511037EA67</vt:lpwstr>
  </property>
</Properties>
</file>