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常宁市全民健身服务中心</w:t>
      </w:r>
    </w:p>
    <w:p>
      <w:pPr>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整体</w:t>
      </w:r>
      <w:r>
        <w:rPr>
          <w:rFonts w:hint="eastAsia" w:ascii="方正小标宋简体" w:hAnsi="方正小标宋简体" w:eastAsia="方正小标宋简体" w:cs="方正小标宋简体"/>
          <w:sz w:val="44"/>
          <w:szCs w:val="44"/>
        </w:rPr>
        <w:t>绩效评价报告</w:t>
      </w:r>
    </w:p>
    <w:p>
      <w:pPr>
        <w:spacing w:line="540" w:lineRule="exact"/>
        <w:ind w:firstLine="645"/>
        <w:jc w:val="both"/>
        <w:textAlignment w:val="auto"/>
        <w:rPr>
          <w:rFonts w:ascii="仿宋" w:hAnsi="仿宋" w:eastAsia="仿宋"/>
          <w:sz w:val="32"/>
          <w:szCs w:val="32"/>
        </w:rPr>
      </w:pPr>
      <w:r>
        <w:rPr>
          <w:rFonts w:hint="eastAsia" w:ascii="仿宋" w:hAnsi="仿宋" w:eastAsia="仿宋"/>
          <w:sz w:val="32"/>
          <w:szCs w:val="32"/>
        </w:rPr>
        <w:t>为进一步规范财政资金管理，切实提高财政资金使用效率，根据市财政局《关于项目支出和整体支出绩效评价的通知》要求，现将</w:t>
      </w:r>
      <w:r>
        <w:rPr>
          <w:rFonts w:hint="eastAsia" w:ascii="仿宋" w:hAnsi="仿宋" w:eastAsia="仿宋"/>
          <w:sz w:val="32"/>
          <w:szCs w:val="32"/>
          <w:lang w:val="en-US" w:eastAsia="zh-CN"/>
        </w:rPr>
        <w:t>2021</w:t>
      </w:r>
      <w:r>
        <w:rPr>
          <w:rFonts w:hint="eastAsia" w:ascii="仿宋" w:hAnsi="仿宋" w:eastAsia="仿宋"/>
          <w:sz w:val="32"/>
          <w:szCs w:val="32"/>
        </w:rPr>
        <w:t>年度财政资金绩效评价工作有关情况报告如下：</w:t>
      </w:r>
    </w:p>
    <w:p>
      <w:pPr>
        <w:pStyle w:val="3"/>
        <w:numPr>
          <w:ilvl w:val="0"/>
          <w:numId w:val="1"/>
        </w:numPr>
        <w:spacing w:line="540" w:lineRule="exact"/>
        <w:ind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单位基本情况</w:t>
      </w:r>
    </w:p>
    <w:p>
      <w:pPr>
        <w:spacing w:line="540" w:lineRule="exact"/>
        <w:ind w:firstLine="645"/>
        <w:jc w:val="both"/>
        <w:textAlignment w:val="auto"/>
        <w:rPr>
          <w:rFonts w:ascii="仿宋" w:hAnsi="仿宋" w:eastAsia="仿宋"/>
          <w:sz w:val="32"/>
          <w:szCs w:val="32"/>
        </w:rPr>
      </w:pPr>
      <w:r>
        <w:rPr>
          <w:rFonts w:hint="eastAsia" w:ascii="仿宋" w:hAnsi="仿宋" w:eastAsia="仿宋"/>
          <w:sz w:val="32"/>
          <w:szCs w:val="32"/>
        </w:rPr>
        <w:t>常宁市全民健身服务中心为市文体广电新闻出版局所属副科级公益一类事业单位，属一级财政预算单位。本中心共有工作人员</w:t>
      </w:r>
      <w:r>
        <w:rPr>
          <w:rFonts w:hint="eastAsia" w:ascii="仿宋" w:hAnsi="仿宋" w:eastAsia="仿宋"/>
          <w:sz w:val="32"/>
          <w:szCs w:val="32"/>
          <w:lang w:val="en-US" w:eastAsia="zh-CN"/>
        </w:rPr>
        <w:t>15</w:t>
      </w:r>
      <w:r>
        <w:rPr>
          <w:rFonts w:hint="eastAsia" w:ascii="仿宋" w:hAnsi="仿宋" w:eastAsia="仿宋"/>
          <w:sz w:val="32"/>
          <w:szCs w:val="32"/>
        </w:rPr>
        <w:t>人，设4个内设机构：①办公室②场馆管理股③活动指导股④培训服务股。</w:t>
      </w:r>
    </w:p>
    <w:p>
      <w:pPr>
        <w:pStyle w:val="3"/>
        <w:numPr>
          <w:ilvl w:val="0"/>
          <w:numId w:val="1"/>
        </w:numPr>
        <w:spacing w:line="540" w:lineRule="exact"/>
        <w:ind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部门的主要职责</w:t>
      </w:r>
    </w:p>
    <w:p>
      <w:pPr>
        <w:spacing w:line="540" w:lineRule="exact"/>
        <w:ind w:firstLine="645"/>
        <w:jc w:val="both"/>
        <w:textAlignment w:val="auto"/>
        <w:rPr>
          <w:rFonts w:ascii="仿宋" w:hAnsi="仿宋" w:eastAsia="仿宋"/>
          <w:sz w:val="32"/>
          <w:szCs w:val="32"/>
        </w:rPr>
      </w:pPr>
      <w:r>
        <w:rPr>
          <w:rFonts w:hint="eastAsia" w:ascii="仿宋" w:hAnsi="仿宋" w:eastAsia="仿宋"/>
          <w:sz w:val="32"/>
          <w:szCs w:val="32"/>
        </w:rPr>
        <w:t>贯彻执行国家、省、市有关全民健身服务工作的方针、政策。负责本市公共体育场馆和设施的运营、管理、维护，负责策划、组织开展群众性体育赛事和全民健身活动，协助承办全国、省、市级体育赛事。负责宣传全民健身政策、法规，普及推广体育健身知识，开展各类体育运动健身知识和技能培训。负责指导管理群众体育组织（协会）建设、管理和维护全市公共基础体育设施，指导协调开展群众性体育活动。</w:t>
      </w:r>
    </w:p>
    <w:p>
      <w:pPr>
        <w:pStyle w:val="3"/>
        <w:numPr>
          <w:ilvl w:val="0"/>
          <w:numId w:val="1"/>
        </w:numPr>
        <w:spacing w:line="540" w:lineRule="exact"/>
        <w:ind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整体支出绩效评价</w:t>
      </w:r>
    </w:p>
    <w:p>
      <w:pPr>
        <w:spacing w:line="540" w:lineRule="exact"/>
        <w:ind w:firstLine="645"/>
        <w:jc w:val="both"/>
        <w:textAlignment w:val="auto"/>
        <w:rPr>
          <w:rFonts w:ascii="仿宋" w:hAnsi="仿宋" w:eastAsia="仿宋"/>
          <w:sz w:val="32"/>
          <w:szCs w:val="32"/>
        </w:rPr>
      </w:pPr>
      <w:r>
        <w:rPr>
          <w:rFonts w:hint="eastAsia" w:ascii="仿宋" w:hAnsi="仿宋" w:eastAsia="仿宋" w:cs="仿宋"/>
          <w:sz w:val="32"/>
          <w:szCs w:val="32"/>
          <w:lang w:val="en-US" w:eastAsia="zh-CN"/>
        </w:rPr>
        <w:t>2021年度本单位全年支出合计228.2万元，其中基本支出118.78万元，项目支出109.42万元</w:t>
      </w:r>
      <w:r>
        <w:rPr>
          <w:rFonts w:hint="eastAsia" w:ascii="仿宋" w:hAnsi="仿宋" w:eastAsia="仿宋"/>
          <w:sz w:val="32"/>
          <w:szCs w:val="32"/>
        </w:rPr>
        <w:t>。</w:t>
      </w:r>
    </w:p>
    <w:p>
      <w:pPr>
        <w:spacing w:line="540" w:lineRule="exact"/>
        <w:ind w:firstLine="482" w:firstLineChars="150"/>
        <w:jc w:val="both"/>
        <w:textAlignment w:val="auto"/>
        <w:rPr>
          <w:rFonts w:ascii="仿宋" w:hAnsi="仿宋" w:eastAsia="仿宋"/>
          <w:b w:val="0"/>
          <w:bCs/>
          <w:sz w:val="32"/>
          <w:szCs w:val="32"/>
        </w:rPr>
      </w:pPr>
      <w:r>
        <w:rPr>
          <w:rFonts w:hint="eastAsia" w:ascii="仿宋" w:hAnsi="仿宋" w:eastAsia="仿宋"/>
          <w:b w:val="0"/>
          <w:bCs/>
          <w:sz w:val="32"/>
          <w:szCs w:val="32"/>
        </w:rPr>
        <w:t>（一）基本支出</w:t>
      </w:r>
      <w:r>
        <w:rPr>
          <w:rFonts w:hint="eastAsia" w:ascii="仿宋" w:hAnsi="仿宋" w:eastAsia="仿宋"/>
          <w:b w:val="0"/>
          <w:bCs/>
          <w:sz w:val="32"/>
          <w:szCs w:val="32"/>
          <w:lang w:val="en-US" w:eastAsia="zh-CN"/>
        </w:rPr>
        <w:t>118.78万</w:t>
      </w:r>
      <w:r>
        <w:rPr>
          <w:rFonts w:hint="eastAsia" w:ascii="仿宋" w:hAnsi="仿宋" w:eastAsia="仿宋"/>
          <w:b w:val="0"/>
          <w:bCs/>
          <w:sz w:val="32"/>
          <w:szCs w:val="32"/>
        </w:rPr>
        <w:t>元</w:t>
      </w:r>
    </w:p>
    <w:p>
      <w:pPr>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①人员经费</w:t>
      </w:r>
      <w:r>
        <w:rPr>
          <w:rFonts w:hint="eastAsia" w:ascii="仿宋" w:hAnsi="仿宋" w:eastAsia="仿宋"/>
          <w:sz w:val="32"/>
          <w:szCs w:val="32"/>
          <w:lang w:val="en-US" w:eastAsia="zh-CN"/>
        </w:rPr>
        <w:t>110.38万</w:t>
      </w:r>
      <w:r>
        <w:rPr>
          <w:rFonts w:hint="eastAsia" w:ascii="仿宋" w:hAnsi="仿宋" w:eastAsia="仿宋"/>
          <w:sz w:val="32"/>
          <w:szCs w:val="32"/>
        </w:rPr>
        <w:t>元</w:t>
      </w:r>
      <w:r>
        <w:rPr>
          <w:rFonts w:hint="eastAsia" w:ascii="仿宋" w:hAnsi="仿宋" w:eastAsia="仿宋"/>
          <w:sz w:val="32"/>
          <w:szCs w:val="32"/>
          <w:lang w:val="en-US" w:eastAsia="zh-CN"/>
        </w:rPr>
        <w:t>。主要包括机关事业单位基本养老保险缴费、职业年金缴费、住房公积金、职工基本医疗保险缴费、其他社会保障缴费、医疗费、其他工资福利支出、离休费、退休费、抚恤金、生活补助、其他对个人和家庭的补助。</w:t>
      </w:r>
      <w:r>
        <w:rPr>
          <w:rFonts w:hint="eastAsia" w:ascii="仿宋" w:hAnsi="仿宋" w:eastAsia="仿宋"/>
          <w:sz w:val="32"/>
          <w:szCs w:val="32"/>
        </w:rPr>
        <w:t>统发人员由财政工资统发中心实行统发，有效的保证了全体工作人员工资发放。</w:t>
      </w:r>
    </w:p>
    <w:p>
      <w:pPr>
        <w:widowControl/>
        <w:wordWrap/>
        <w:adjustRightInd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②日常公用经费</w:t>
      </w:r>
      <w:r>
        <w:rPr>
          <w:rFonts w:hint="eastAsia" w:ascii="仿宋" w:hAnsi="仿宋" w:eastAsia="仿宋"/>
          <w:sz w:val="32"/>
          <w:szCs w:val="32"/>
          <w:lang w:val="en-US" w:eastAsia="zh-CN"/>
        </w:rPr>
        <w:t>8.4万</w:t>
      </w:r>
      <w:r>
        <w:rPr>
          <w:rFonts w:hint="eastAsia" w:ascii="仿宋" w:hAnsi="仿宋" w:eastAsia="仿宋"/>
          <w:sz w:val="32"/>
          <w:szCs w:val="32"/>
        </w:rPr>
        <w:t>元。用于单位的水、电、报刊及办公用品购置日常维修维护等。确保单位正常运转。</w:t>
      </w:r>
    </w:p>
    <w:p>
      <w:pPr>
        <w:spacing w:line="540" w:lineRule="exact"/>
        <w:ind w:firstLine="643" w:firstLineChars="200"/>
        <w:jc w:val="both"/>
        <w:textAlignment w:val="auto"/>
        <w:rPr>
          <w:rFonts w:ascii="仿宋" w:hAnsi="仿宋" w:eastAsia="仿宋"/>
          <w:b w:val="0"/>
          <w:bCs/>
          <w:sz w:val="32"/>
          <w:szCs w:val="32"/>
        </w:rPr>
      </w:pPr>
      <w:r>
        <w:rPr>
          <w:rFonts w:hint="eastAsia" w:ascii="仿宋" w:hAnsi="仿宋" w:eastAsia="仿宋"/>
          <w:b w:val="0"/>
          <w:bCs/>
          <w:sz w:val="32"/>
          <w:szCs w:val="32"/>
        </w:rPr>
        <w:t>（二）其他体育</w:t>
      </w:r>
      <w:r>
        <w:rPr>
          <w:rFonts w:hint="eastAsia" w:ascii="仿宋" w:hAnsi="仿宋" w:eastAsia="仿宋"/>
          <w:b w:val="0"/>
          <w:bCs/>
          <w:sz w:val="32"/>
          <w:szCs w:val="32"/>
          <w:lang w:val="en-US" w:eastAsia="zh-CN"/>
        </w:rPr>
        <w:t>项目</w:t>
      </w:r>
      <w:r>
        <w:rPr>
          <w:rFonts w:hint="eastAsia" w:ascii="仿宋" w:hAnsi="仿宋" w:eastAsia="仿宋"/>
          <w:b w:val="0"/>
          <w:bCs/>
          <w:sz w:val="32"/>
          <w:szCs w:val="32"/>
        </w:rPr>
        <w:t>支出</w:t>
      </w:r>
      <w:r>
        <w:rPr>
          <w:rFonts w:hint="eastAsia" w:ascii="仿宋" w:hAnsi="仿宋" w:eastAsia="仿宋"/>
          <w:b w:val="0"/>
          <w:bCs/>
          <w:sz w:val="32"/>
          <w:szCs w:val="32"/>
          <w:lang w:val="en-US" w:eastAsia="zh-CN"/>
        </w:rPr>
        <w:t>109.42万</w:t>
      </w:r>
      <w:r>
        <w:rPr>
          <w:rFonts w:hint="eastAsia" w:ascii="仿宋" w:hAnsi="仿宋" w:eastAsia="仿宋"/>
          <w:b w:val="0"/>
          <w:bCs/>
          <w:sz w:val="32"/>
          <w:szCs w:val="32"/>
        </w:rPr>
        <w:t>元</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体育场室外乒乓球馆提质改造；</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体育场公园内健身步道健身;</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腾辉羽毛球馆提质改造；</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体育场室外羽毛球场更换羽毛球网；</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体育场路灯维修；</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水口山高级中学运动场及体育场馆器材维修；</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1月1日协办2021年合兴新城杯第四届元旦环城跑活动；</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2月16日在市乒乓球馆举办</w:t>
      </w:r>
      <w:r>
        <w:rPr>
          <w:rFonts w:hint="eastAsia" w:ascii="仿宋" w:hAnsi="仿宋" w:eastAsia="仿宋" w:cs="仿宋"/>
          <w:sz w:val="32"/>
          <w:szCs w:val="32"/>
        </w:rPr>
        <w:t>常宁市乒乓球精英选手联谊</w:t>
      </w:r>
      <w:r>
        <w:rPr>
          <w:rFonts w:hint="eastAsia" w:ascii="仿宋" w:hAnsi="仿宋" w:eastAsia="仿宋" w:cs="仿宋"/>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3月4日在市乒乓球馆</w:t>
      </w:r>
      <w:r>
        <w:rPr>
          <w:rFonts w:hint="eastAsia" w:ascii="仿宋" w:hAnsi="仿宋" w:eastAsia="仿宋" w:cs="仿宋"/>
          <w:sz w:val="32"/>
          <w:szCs w:val="32"/>
        </w:rPr>
        <w:t>举办2021年市人大机关与市农业农村局乒乓球联谊赛</w:t>
      </w:r>
      <w:r>
        <w:rPr>
          <w:rFonts w:hint="eastAsia" w:ascii="仿宋" w:hAnsi="仿宋" w:eastAsia="仿宋" w:cs="仿宋"/>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3月23日在市水口山高级中学举办</w:t>
      </w:r>
      <w:r>
        <w:rPr>
          <w:rFonts w:hint="eastAsia" w:ascii="仿宋" w:hAnsi="仿宋" w:eastAsia="仿宋" w:cs="仿宋"/>
          <w:sz w:val="32"/>
          <w:szCs w:val="32"/>
        </w:rPr>
        <w:t>常宁市2021年全民健身乒乓球进校园活动</w:t>
      </w:r>
      <w:r>
        <w:rPr>
          <w:rFonts w:hint="eastAsia" w:ascii="仿宋" w:hAnsi="仿宋" w:eastAsia="仿宋" w:cs="仿宋"/>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5月13日在市太极拳馆举办</w:t>
      </w:r>
      <w:r>
        <w:rPr>
          <w:rFonts w:hint="eastAsia" w:ascii="仿宋" w:hAnsi="仿宋" w:eastAsia="仿宋" w:cs="仿宋"/>
          <w:sz w:val="32"/>
          <w:szCs w:val="32"/>
        </w:rPr>
        <w:t>2021年老年人太极拳骨干培训班</w:t>
      </w:r>
      <w:r>
        <w:rPr>
          <w:rFonts w:hint="eastAsia" w:ascii="仿宋" w:hAnsi="仿宋" w:eastAsia="仿宋" w:cs="仿宋"/>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5月29日在政府广场</w:t>
      </w:r>
      <w:r>
        <w:rPr>
          <w:rFonts w:hint="eastAsia" w:ascii="仿宋" w:hAnsi="仿宋" w:eastAsia="仿宋" w:cs="仿宋"/>
          <w:sz w:val="32"/>
          <w:szCs w:val="32"/>
        </w:rPr>
        <w:t>举办2021年常宁市首届“国宾府杯”儿童平衡车挑战赛</w:t>
      </w:r>
      <w:r>
        <w:rPr>
          <w:rFonts w:hint="eastAsia" w:ascii="仿宋" w:hAnsi="仿宋" w:eastAsia="仿宋" w:cs="仿宋"/>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6月25日在腾辉羽毛球馆</w:t>
      </w:r>
      <w:r>
        <w:rPr>
          <w:rFonts w:hint="eastAsia" w:ascii="仿宋" w:hAnsi="仿宋" w:eastAsia="仿宋" w:cs="仿宋"/>
          <w:b w:val="0"/>
          <w:bCs w:val="0"/>
          <w:sz w:val="32"/>
          <w:szCs w:val="32"/>
        </w:rPr>
        <w:t>举办</w:t>
      </w:r>
      <w:r>
        <w:rPr>
          <w:rFonts w:hint="eastAsia" w:ascii="仿宋" w:hAnsi="仿宋" w:eastAsia="仿宋" w:cs="仿宋"/>
          <w:b w:val="0"/>
          <w:bCs w:val="0"/>
          <w:sz w:val="32"/>
          <w:szCs w:val="32"/>
          <w:lang w:eastAsia="zh-CN"/>
        </w:rPr>
        <w:t>常宁市第一届</w:t>
      </w:r>
      <w:r>
        <w:rPr>
          <w:rFonts w:hint="eastAsia" w:ascii="仿宋" w:hAnsi="仿宋" w:eastAsia="仿宋" w:cs="仿宋"/>
          <w:b w:val="0"/>
          <w:bCs w:val="0"/>
          <w:sz w:val="32"/>
          <w:szCs w:val="32"/>
        </w:rPr>
        <w:t>职工羽毛球联赛</w:t>
      </w:r>
      <w:r>
        <w:rPr>
          <w:rFonts w:hint="eastAsia" w:ascii="仿宋" w:hAnsi="仿宋" w:eastAsia="仿宋" w:cs="仿宋"/>
          <w:b w:val="0"/>
          <w:bCs w:val="0"/>
          <w:sz w:val="32"/>
          <w:szCs w:val="32"/>
          <w:lang w:eastAsia="zh-CN"/>
        </w:rPr>
        <w:t>；</w:t>
      </w:r>
    </w:p>
    <w:p>
      <w:pPr>
        <w:widowControl w:val="0"/>
        <w:wordWrap/>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7月25日在</w:t>
      </w:r>
      <w:r>
        <w:rPr>
          <w:rFonts w:hint="eastAsia" w:ascii="仿宋" w:hAnsi="仿宋" w:eastAsia="仿宋" w:cs="仿宋"/>
          <w:sz w:val="32"/>
          <w:szCs w:val="32"/>
          <w:lang w:val="en-US" w:eastAsia="zh-CN"/>
        </w:rPr>
        <w:t>砚池山公园举办禁毒宣传活动；</w:t>
      </w:r>
    </w:p>
    <w:p>
      <w:pPr>
        <w:ind w:firstLine="56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8月-9月组队参加</w:t>
      </w:r>
      <w:r>
        <w:rPr>
          <w:rFonts w:hint="eastAsia" w:ascii="仿宋" w:hAnsi="仿宋" w:eastAsia="仿宋" w:cs="仿宋"/>
          <w:sz w:val="32"/>
          <w:szCs w:val="32"/>
        </w:rPr>
        <w:t>衡阳市第十一届运动会乒乓球、门球、太极拳等比赛</w:t>
      </w:r>
      <w:r>
        <w:rPr>
          <w:rFonts w:hint="eastAsia" w:ascii="仿宋" w:hAnsi="仿宋" w:eastAsia="仿宋" w:cs="仿宋"/>
          <w:sz w:val="32"/>
          <w:szCs w:val="32"/>
          <w:lang w:eastAsia="zh-CN"/>
        </w:rPr>
        <w:t>；</w:t>
      </w:r>
    </w:p>
    <w:p>
      <w:pPr>
        <w:ind w:firstLine="56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11月14日组队参加衡阳市“长乐杯”老年门球赛衡东县邀请赛；</w:t>
      </w:r>
    </w:p>
    <w:p>
      <w:pPr>
        <w:rPr>
          <w:rFonts w:hint="eastAsia" w:ascii="楷体" w:hAnsi="楷体" w:eastAsia="楷体" w:cs="楷体"/>
          <w:sz w:val="28"/>
          <w:szCs w:val="28"/>
          <w:lang w:val="en-US" w:eastAsia="zh-CN"/>
        </w:rPr>
      </w:pPr>
      <w:r>
        <w:rPr>
          <w:rFonts w:hint="eastAsia" w:ascii="仿宋" w:hAnsi="仿宋" w:eastAsia="仿宋" w:cs="仿宋"/>
          <w:sz w:val="32"/>
          <w:szCs w:val="32"/>
          <w:lang w:val="en-US" w:eastAsia="zh-CN"/>
        </w:rPr>
        <w:t xml:space="preserve">     12月10日承办中共常宁市委宣传系统2021年第六届“长寿杯”老干部（老年人）文体表演活动‘’</w:t>
      </w:r>
    </w:p>
    <w:p>
      <w:pPr>
        <w:pStyle w:val="3"/>
        <w:numPr>
          <w:ilvl w:val="0"/>
          <w:numId w:val="1"/>
        </w:numPr>
        <w:spacing w:line="54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评价过程及绩效分析</w:t>
      </w:r>
    </w:p>
    <w:p>
      <w:pPr>
        <w:spacing w:line="540" w:lineRule="exact"/>
        <w:ind w:firstLine="645"/>
        <w:textAlignment w:val="auto"/>
        <w:rPr>
          <w:rFonts w:ascii="仿宋" w:hAnsi="仿宋" w:eastAsia="仿宋"/>
          <w:sz w:val="32"/>
          <w:szCs w:val="32"/>
        </w:rPr>
      </w:pPr>
      <w:r>
        <w:rPr>
          <w:rFonts w:hint="eastAsia" w:ascii="仿宋" w:hAnsi="仿宋" w:eastAsia="仿宋"/>
          <w:sz w:val="32"/>
          <w:szCs w:val="32"/>
        </w:rPr>
        <w:t>市全民健身服务中心认真落实国家、省、市及主管部门的指示精神，完成了年初计划的各项工作，严格遵守市财政局经费来源和分配、管理使用原则，规范账户管理，严格遵守支出审批手续，严格财务内审和监督制度，严格按照财务管理制度照章办事，没有发生违反财政纪律，违反财务管理制度的情况。</w:t>
      </w:r>
    </w:p>
    <w:p>
      <w:pPr>
        <w:pStyle w:val="3"/>
        <w:numPr>
          <w:ilvl w:val="0"/>
          <w:numId w:val="1"/>
        </w:numPr>
        <w:spacing w:line="54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存在的问题</w:t>
      </w:r>
    </w:p>
    <w:p>
      <w:pPr>
        <w:spacing w:line="540" w:lineRule="exact"/>
        <w:ind w:firstLine="630"/>
        <w:textAlignment w:val="auto"/>
        <w:rPr>
          <w:rFonts w:ascii="仿宋" w:hAnsi="仿宋" w:eastAsia="仿宋"/>
          <w:sz w:val="32"/>
          <w:szCs w:val="32"/>
        </w:rPr>
      </w:pPr>
      <w:r>
        <w:rPr>
          <w:rFonts w:hint="eastAsia" w:ascii="仿宋" w:hAnsi="仿宋" w:eastAsia="仿宋"/>
          <w:sz w:val="32"/>
          <w:szCs w:val="32"/>
        </w:rPr>
        <w:t>中央、省、衡阳市都出台了相关法律法规政策文件，要加大对全民健身工作的经费投入，由于财政经费投入不足，影响了我市公</w:t>
      </w:r>
      <w:bookmarkStart w:id="0" w:name="_GoBack"/>
      <w:bookmarkEnd w:id="0"/>
      <w:r>
        <w:rPr>
          <w:rFonts w:hint="eastAsia" w:ascii="仿宋" w:hAnsi="仿宋" w:eastAsia="仿宋"/>
          <w:sz w:val="32"/>
          <w:szCs w:val="32"/>
        </w:rPr>
        <w:t>益性体育产品的创作与传播，体育活动的组织与承办，公共体育设施的运营与管理，民间传统体育的传承与展示，以及体育机构提供的免费或低收费服务等具体工作，缺乏专业性人才，硬件设施严重缺失。</w:t>
      </w:r>
    </w:p>
    <w:p>
      <w:pPr>
        <w:pStyle w:val="3"/>
        <w:numPr>
          <w:ilvl w:val="0"/>
          <w:numId w:val="1"/>
        </w:numPr>
        <w:spacing w:line="54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有关建议</w:t>
      </w:r>
    </w:p>
    <w:p>
      <w:pPr>
        <w:pStyle w:val="3"/>
        <w:numPr>
          <w:ilvl w:val="0"/>
          <w:numId w:val="2"/>
        </w:numPr>
        <w:spacing w:line="540" w:lineRule="exact"/>
        <w:ind w:firstLineChars="0"/>
        <w:textAlignment w:val="auto"/>
        <w:rPr>
          <w:rFonts w:ascii="仿宋" w:hAnsi="仿宋" w:eastAsia="仿宋"/>
          <w:b w:val="0"/>
          <w:bCs/>
          <w:sz w:val="32"/>
          <w:szCs w:val="32"/>
        </w:rPr>
      </w:pPr>
      <w:r>
        <w:rPr>
          <w:rFonts w:hint="eastAsia" w:ascii="仿宋" w:hAnsi="仿宋" w:eastAsia="仿宋"/>
          <w:b w:val="0"/>
          <w:bCs/>
          <w:sz w:val="32"/>
          <w:szCs w:val="32"/>
        </w:rPr>
        <w:t>增加工作经费预算</w:t>
      </w:r>
    </w:p>
    <w:p>
      <w:pPr>
        <w:pStyle w:val="3"/>
        <w:numPr>
          <w:ilvl w:val="0"/>
          <w:numId w:val="2"/>
        </w:numPr>
        <w:spacing w:line="540" w:lineRule="exact"/>
        <w:ind w:firstLineChars="0"/>
        <w:textAlignment w:val="auto"/>
        <w:rPr>
          <w:rFonts w:ascii="仿宋" w:hAnsi="仿宋" w:eastAsia="仿宋"/>
          <w:b w:val="0"/>
          <w:bCs/>
          <w:sz w:val="32"/>
          <w:szCs w:val="32"/>
        </w:rPr>
      </w:pPr>
      <w:r>
        <w:rPr>
          <w:rFonts w:hint="eastAsia" w:ascii="仿宋" w:hAnsi="仿宋" w:eastAsia="仿宋"/>
          <w:b w:val="0"/>
          <w:bCs/>
          <w:sz w:val="32"/>
          <w:szCs w:val="32"/>
        </w:rPr>
        <w:t>加强人员业务培训</w:t>
      </w:r>
    </w:p>
    <w:p>
      <w:pPr>
        <w:pStyle w:val="3"/>
        <w:spacing w:line="540" w:lineRule="exact"/>
        <w:ind w:left="0" w:leftChars="0" w:firstLine="0" w:firstLineChars="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pStyle w:val="3"/>
        <w:spacing w:line="540" w:lineRule="exact"/>
        <w:ind w:left="0" w:leftChars="0" w:firstLine="0" w:firstLineChars="0"/>
        <w:jc w:val="both"/>
        <w:textAlignment w:val="auto"/>
        <w:rPr>
          <w:rFonts w:hint="eastAsia" w:ascii="仿宋" w:hAnsi="仿宋" w:eastAsia="仿宋"/>
          <w:sz w:val="32"/>
          <w:szCs w:val="32"/>
          <w:lang w:val="en-US" w:eastAsia="zh-CN"/>
        </w:rPr>
      </w:pPr>
    </w:p>
    <w:p>
      <w:pPr>
        <w:pStyle w:val="3"/>
        <w:spacing w:line="540" w:lineRule="exact"/>
        <w:ind w:left="0" w:leftChars="0" w:firstLine="0" w:firstLineChars="0"/>
        <w:jc w:val="right"/>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常宁市全民健身服务中心</w:t>
      </w:r>
    </w:p>
    <w:p>
      <w:pPr>
        <w:pStyle w:val="3"/>
        <w:spacing w:line="540" w:lineRule="exact"/>
        <w:ind w:left="1545" w:firstLine="0" w:firstLineChars="0"/>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p>
    <w:p>
      <w:pPr>
        <w:pStyle w:val="3"/>
        <w:spacing w:line="540" w:lineRule="exact"/>
        <w:ind w:left="1545" w:firstLine="0" w:firstLineChars="0"/>
        <w:textAlignment w:val="auto"/>
        <w:rPr>
          <w:rFonts w:ascii="仿宋" w:hAnsi="仿宋" w:eastAsia="仿宋"/>
          <w:sz w:val="32"/>
          <w:szCs w:val="32"/>
        </w:rPr>
      </w:pPr>
    </w:p>
    <w:p>
      <w:pPr>
        <w:pStyle w:val="3"/>
        <w:spacing w:line="540" w:lineRule="exact"/>
        <w:ind w:left="1545" w:firstLine="0" w:firstLineChars="0"/>
        <w:textAlignment w:val="auto"/>
        <w:rPr>
          <w:rFonts w:ascii="仿宋" w:hAnsi="仿宋" w:eastAsia="仿宋"/>
          <w:sz w:val="32"/>
          <w:szCs w:val="32"/>
        </w:rPr>
      </w:pPr>
    </w:p>
    <w:p>
      <w:pPr>
        <w:pStyle w:val="3"/>
        <w:wordWrap w:val="0"/>
        <w:spacing w:line="540" w:lineRule="exact"/>
        <w:ind w:left="1545" w:firstLine="0" w:firstLineChars="0"/>
        <w:jc w:val="right"/>
        <w:textAlignment w:val="auto"/>
        <w:rPr>
          <w:rFonts w:ascii="仿宋" w:hAnsi="仿宋" w:eastAsia="仿宋"/>
          <w:sz w:val="32"/>
          <w:szCs w:val="32"/>
        </w:rPr>
      </w:pPr>
    </w:p>
    <w:sectPr>
      <w:pgSz w:w="11906" w:h="16838"/>
      <w:pgMar w:top="1440" w:right="1800" w:bottom="1440" w:left="1800" w:header="708" w:footer="708"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11">
    <w:nsid w:val="0000000B"/>
    <w:multiLevelType w:val="multilevel"/>
    <w:tmpl w:val="0000000B"/>
    <w:lvl w:ilvl="0" w:tentative="1">
      <w:start w:val="1"/>
      <w:numFmt w:val="japaneseCounting"/>
      <w:lvlText w:val="（%1）"/>
      <w:lvlJc w:val="left"/>
      <w:pPr>
        <w:ind w:left="1545" w:hanging="108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adjustRightInd w:val="0"/>
      <w:snapToGrid w:val="0"/>
      <w:spacing w:after="200" w:line="240" w:lineRule="auto"/>
    </w:pPr>
    <w:rPr>
      <w:rFonts w:ascii="Tahoma" w:hAnsi="Tahoma" w:eastAsia="微软雅黑" w:cs="黑体"/>
      <w:sz w:val="22"/>
      <w:szCs w:val="22"/>
      <w:lang w:val="en-US" w:eastAsia="zh-CN" w:bidi="ar-SA"/>
    </w:rPr>
  </w:style>
  <w:style w:type="character" w:default="1" w:styleId="2">
    <w:name w:val="Default Paragraph Font"/>
  </w:style>
  <w:style w:type="paragraph" w:customStyle="1" w:styleId="3">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1179</Characters>
  <Lines>9</Lines>
  <Paragraphs>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Printed>2022-08-31T03:06:00Z</cp:lastPrinted>
  <dcterms:modified xsi:type="dcterms:W3CDTF">2022-08-31T10:33:17Z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