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spacing w:line="600" w:lineRule="exact"/>
        <w:textAlignment w:val="auto"/>
        <w:rPr>
          <w:rFonts w:hint="default" w:ascii="Times New Roman" w:hAnsi="Times New Roman" w:cs="Times New Roman"/>
          <w:szCs w:val="32"/>
        </w:rPr>
      </w:pPr>
      <w:r>
        <w:rPr>
          <w:rFonts w:hint="default" w:ascii="Times New Roman" w:hAnsi="Times New Roman" w:cs="Times New Roman"/>
          <w:szCs w:val="32"/>
        </w:rPr>
        <mc:AlternateContent>
          <mc:Choice Requires="wps">
            <w:drawing>
              <wp:anchor distT="0" distB="0" distL="114300" distR="114300" simplePos="0" relativeHeight="251659264" behindDoc="0" locked="0" layoutInCell="1" allowOverlap="1">
                <wp:simplePos x="0" y="0"/>
                <wp:positionH relativeFrom="column">
                  <wp:posOffset>-316865</wp:posOffset>
                </wp:positionH>
                <wp:positionV relativeFrom="paragraph">
                  <wp:posOffset>-743585</wp:posOffset>
                </wp:positionV>
                <wp:extent cx="2971800" cy="49530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0" y="0"/>
                          <a:ext cx="2971800" cy="49530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hint="default" w:eastAsia="仿宋_GB2312"/>
                                <w:sz w:val="32"/>
                                <w:szCs w:val="32"/>
                                <w:lang w:val="en-US" w:eastAsia="zh-CN"/>
                              </w:rPr>
                            </w:pPr>
                            <w:r>
                              <w:rPr>
                                <w:rFonts w:eastAsia="仿宋_GB2312"/>
                                <w:sz w:val="32"/>
                                <w:szCs w:val="32"/>
                              </w:rPr>
                              <w:t>登</w:t>
                            </w:r>
                            <w:r>
                              <w:rPr>
                                <w:rFonts w:hint="default" w:ascii="Times New Roman" w:hAnsi="Times New Roman" w:eastAsia="仿宋_GB2312" w:cs="Times New Roman"/>
                                <w:sz w:val="32"/>
                                <w:szCs w:val="32"/>
                              </w:rPr>
                              <w:t>记号：CNDR—20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—0100</w:t>
                            </w:r>
                            <w:r>
                              <w:rPr>
                                <w:rFonts w:hint="eastAsia" w:ascii="Times New Roman" w:hAnsi="Times New Roman" w:eastAsia="仿宋_GB2312" w:cs="Times New Roman"/>
                                <w:sz w:val="32"/>
                                <w:szCs w:val="32"/>
                                <w:lang w:val="en-US" w:eastAsia="zh-CN"/>
                              </w:rPr>
                              <w:t>8</w:t>
                            </w:r>
                          </w:p>
                        </w:txbxContent>
                      </wps:txbx>
                      <wps:bodyPr upright="1"/>
                    </wps:wsp>
                  </a:graphicData>
                </a:graphic>
              </wp:anchor>
            </w:drawing>
          </mc:Choice>
          <mc:Fallback>
            <w:pict>
              <v:shape id="_x0000_s1026" o:spid="_x0000_s1026" o:spt="202" type="#_x0000_t202" style="position:absolute;left:0pt;margin-left:-24.95pt;margin-top:-58.55pt;height:39pt;width:234pt;z-index:251659264;mso-width-relative:page;mso-height-relative:page;" fillcolor="#FFFFFF" filled="t" stroked="t" coordsize="21600,21600" o:gfxdata="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0pzlz2QAAAAwBAAAPAAAAAAAAAAEAIAAA&#10;ACIAAABkcnMvZG93bnJldi54bWxQSwECFAAUAAAACACHTuJAoVfjTQsCAABEBAAADgAAAAAAAAAB&#10;ACAAAAAoAQAAZHJzL2Uyb0RvYy54bWxQSwUGAAAAAAYABgBZAQAApQUAAAAA&#10;">
                <v:fill on="t" focussize="0,0"/>
                <v:stroke color="#FFFFFF" joinstyle="miter"/>
                <v:imagedata o:title=""/>
                <o:lock v:ext="edit" aspectratio="f"/>
                <v:textbox>
                  <w:txbxContent>
                    <w:p>
                      <w:pPr>
                        <w:rPr>
                          <w:rFonts w:hint="default" w:eastAsia="仿宋_GB2312"/>
                          <w:sz w:val="32"/>
                          <w:szCs w:val="32"/>
                          <w:lang w:val="en-US" w:eastAsia="zh-CN"/>
                        </w:rPr>
                      </w:pPr>
                      <w:r>
                        <w:rPr>
                          <w:rFonts w:eastAsia="仿宋_GB2312"/>
                          <w:sz w:val="32"/>
                          <w:szCs w:val="32"/>
                        </w:rPr>
                        <w:t>登</w:t>
                      </w:r>
                      <w:r>
                        <w:rPr>
                          <w:rFonts w:hint="default" w:ascii="Times New Roman" w:hAnsi="Times New Roman" w:eastAsia="仿宋_GB2312" w:cs="Times New Roman"/>
                          <w:sz w:val="32"/>
                          <w:szCs w:val="32"/>
                        </w:rPr>
                        <w:t>记号：CNDR—20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—0100</w:t>
                      </w:r>
                      <w:r>
                        <w:rPr>
                          <w:rFonts w:hint="eastAsia" w:ascii="Times New Roman" w:hAnsi="Times New Roman" w:eastAsia="仿宋_GB2312" w:cs="Times New Roman"/>
                          <w:sz w:val="32"/>
                          <w:szCs w:val="32"/>
                          <w:lang w:val="en-US" w:eastAsia="zh-CN"/>
                        </w:rPr>
                        <w:t>8</w:t>
                      </w:r>
                    </w:p>
                  </w:txbxContent>
                </v:textbox>
              </v:shape>
            </w:pict>
          </mc:Fallback>
        </mc:AlternateContent>
      </w:r>
    </w:p>
    <w:p>
      <w:pPr>
        <w:keepNext w:val="0"/>
        <w:keepLines w:val="0"/>
        <w:pageBreakBefore w:val="0"/>
        <w:widowControl w:val="0"/>
        <w:kinsoku/>
        <w:wordWrap/>
        <w:overflowPunct/>
        <w:autoSpaceDE/>
        <w:autoSpaceDN/>
        <w:bidi w:val="0"/>
        <w:adjustRightInd/>
        <w:spacing w:line="600" w:lineRule="exact"/>
        <w:textAlignment w:val="auto"/>
        <w:rPr>
          <w:rFonts w:hint="default" w:ascii="Times New Roman" w:hAnsi="Times New Roman" w:cs="Times New Roman"/>
          <w:szCs w:val="32"/>
        </w:rPr>
      </w:pPr>
      <w:r>
        <w:rPr>
          <w:rFonts w:hint="default" w:ascii="Times New Roman" w:hAnsi="Times New Roman" w:cs="Times New Roman"/>
          <w:szCs w:val="32"/>
        </w:rPr>
        <w:tab/>
      </w:r>
    </w:p>
    <w:p>
      <w:pPr>
        <w:keepNext w:val="0"/>
        <w:keepLines w:val="0"/>
        <w:pageBreakBefore w:val="0"/>
        <w:widowControl w:val="0"/>
        <w:kinsoku/>
        <w:wordWrap/>
        <w:overflowPunct/>
        <w:autoSpaceDE/>
        <w:autoSpaceDN/>
        <w:bidi w:val="0"/>
        <w:adjustRightInd/>
        <w:spacing w:line="600" w:lineRule="exact"/>
        <w:textAlignment w:val="auto"/>
        <w:rPr>
          <w:rFonts w:hint="default" w:ascii="Times New Roman" w:hAnsi="Times New Roman" w:cs="Times New Roman"/>
          <w:szCs w:val="32"/>
        </w:rPr>
      </w:pPr>
    </w:p>
    <w:p>
      <w:pPr>
        <w:keepNext w:val="0"/>
        <w:keepLines w:val="0"/>
        <w:pageBreakBefore w:val="0"/>
        <w:widowControl w:val="0"/>
        <w:kinsoku/>
        <w:wordWrap/>
        <w:overflowPunct/>
        <w:autoSpaceDE/>
        <w:autoSpaceDN/>
        <w:bidi w:val="0"/>
        <w:adjustRightInd/>
        <w:spacing w:line="600" w:lineRule="exact"/>
        <w:textAlignment w:val="auto"/>
        <w:rPr>
          <w:rFonts w:hint="default" w:ascii="Times New Roman" w:hAnsi="Times New Roman" w:cs="Times New Roman"/>
          <w:szCs w:val="32"/>
        </w:rPr>
      </w:pPr>
    </w:p>
    <w:p>
      <w:pPr>
        <w:keepNext w:val="0"/>
        <w:keepLines w:val="0"/>
        <w:pageBreakBefore w:val="0"/>
        <w:widowControl w:val="0"/>
        <w:kinsoku/>
        <w:wordWrap/>
        <w:overflowPunct/>
        <w:autoSpaceDE/>
        <w:autoSpaceDN/>
        <w:bidi w:val="0"/>
        <w:adjustRightInd/>
        <w:spacing w:line="600" w:lineRule="exact"/>
        <w:jc w:val="center"/>
        <w:textAlignment w:val="auto"/>
        <w:rPr>
          <w:rFonts w:hint="default" w:ascii="Times New Roman" w:hAnsi="Times New Roman" w:cs="Times New Roman"/>
          <w:szCs w:val="32"/>
        </w:rPr>
      </w:pPr>
    </w:p>
    <w:p>
      <w:pPr>
        <w:keepNext w:val="0"/>
        <w:keepLines w:val="0"/>
        <w:pageBreakBefore w:val="0"/>
        <w:widowControl w:val="0"/>
        <w:kinsoku/>
        <w:wordWrap/>
        <w:overflowPunct/>
        <w:autoSpaceDE/>
        <w:autoSpaceDN/>
        <w:bidi w:val="0"/>
        <w:adjustRightInd/>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常政办发〔20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autoSpaceDE/>
        <w:autoSpaceDN/>
        <w:bidi w:val="0"/>
        <w:adjustRightInd/>
        <w:spacing w:line="60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autoSpaceDE/>
        <w:autoSpaceDN/>
        <w:bidi w:val="0"/>
        <w:adjustRightInd/>
        <w:spacing w:line="600" w:lineRule="exact"/>
        <w:jc w:val="center"/>
        <w:textAlignment w:val="auto"/>
        <w:rPr>
          <w:rFonts w:hint="default" w:ascii="Times New Roman" w:hAnsi="Times New Roman" w:eastAsia="仿宋_GB2312" w:cs="Times New Roman"/>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大标宋_GBK" w:hAnsi="方正大标宋_GBK" w:eastAsia="方正大标宋_GBK" w:cs="方正大标宋_GBK"/>
          <w:b w:val="0"/>
          <w:bCs w:val="0"/>
          <w:color w:val="000000"/>
          <w:sz w:val="44"/>
          <w:szCs w:val="44"/>
          <w:shd w:val="clear" w:fill="FFFFFF"/>
          <w:lang w:eastAsia="zh-CN"/>
        </w:rPr>
      </w:pPr>
      <w:r>
        <w:rPr>
          <w:rFonts w:hint="eastAsia" w:ascii="方正大标宋_GBK" w:hAnsi="方正大标宋_GBK" w:eastAsia="方正大标宋_GBK" w:cs="方正大标宋_GBK"/>
          <w:b w:val="0"/>
          <w:bCs w:val="0"/>
          <w:color w:val="000000"/>
          <w:sz w:val="44"/>
          <w:szCs w:val="44"/>
          <w:shd w:val="clear" w:fill="FFFFFF"/>
          <w:lang w:eastAsia="zh-CN"/>
        </w:rPr>
        <w:t>常宁市人民</w:t>
      </w:r>
      <w:r>
        <w:rPr>
          <w:rFonts w:hint="eastAsia" w:ascii="方正大标宋_GBK" w:hAnsi="方正大标宋_GBK" w:eastAsia="方正大标宋_GBK" w:cs="方正大标宋_GBK"/>
          <w:b w:val="0"/>
          <w:bCs w:val="0"/>
          <w:color w:val="000000"/>
          <w:sz w:val="44"/>
          <w:szCs w:val="44"/>
          <w:shd w:val="clear" w:fill="FFFFFF"/>
        </w:rPr>
        <w:t>政府办公</w:t>
      </w:r>
      <w:r>
        <w:rPr>
          <w:rFonts w:hint="eastAsia" w:ascii="方正大标宋_GBK" w:hAnsi="方正大标宋_GBK" w:eastAsia="方正大标宋_GBK" w:cs="方正大标宋_GBK"/>
          <w:b w:val="0"/>
          <w:bCs w:val="0"/>
          <w:color w:val="000000"/>
          <w:sz w:val="44"/>
          <w:szCs w:val="44"/>
          <w:shd w:val="clear" w:fill="FFFFFF"/>
          <w:lang w:eastAsia="zh-CN"/>
        </w:rPr>
        <w:t>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大标宋_GBK" w:hAnsi="方正大标宋_GBK" w:eastAsia="方正大标宋_GBK" w:cs="方正大标宋_GBK"/>
          <w:b w:val="0"/>
          <w:bCs w:val="0"/>
          <w:color w:val="000000"/>
          <w:sz w:val="44"/>
          <w:szCs w:val="44"/>
          <w:shd w:val="clear" w:fill="FFFFFF"/>
        </w:rPr>
      </w:pPr>
      <w:r>
        <w:rPr>
          <w:rFonts w:hint="eastAsia" w:ascii="方正大标宋_GBK" w:hAnsi="方正大标宋_GBK" w:eastAsia="方正大标宋_GBK" w:cs="方正大标宋_GBK"/>
          <w:b w:val="0"/>
          <w:bCs w:val="0"/>
          <w:color w:val="000000"/>
          <w:sz w:val="44"/>
          <w:szCs w:val="44"/>
          <w:shd w:val="clear" w:fill="FFFFFF"/>
        </w:rPr>
        <w:t>关于</w:t>
      </w:r>
      <w:r>
        <w:rPr>
          <w:rFonts w:hint="eastAsia" w:ascii="方正大标宋_GBK" w:hAnsi="方正大标宋_GBK" w:eastAsia="方正大标宋_GBK" w:cs="方正大标宋_GBK"/>
          <w:b w:val="0"/>
          <w:bCs w:val="0"/>
          <w:color w:val="000000"/>
          <w:sz w:val="44"/>
          <w:szCs w:val="44"/>
          <w:shd w:val="clear" w:fill="FFFFFF"/>
          <w:lang w:eastAsia="zh-CN"/>
        </w:rPr>
        <w:t>印发《常宁市</w:t>
      </w:r>
      <w:r>
        <w:rPr>
          <w:rFonts w:hint="eastAsia" w:ascii="方正大标宋_GBK" w:hAnsi="方正大标宋_GBK" w:eastAsia="方正大标宋_GBK" w:cs="方正大标宋_GBK"/>
          <w:b w:val="0"/>
          <w:bCs w:val="0"/>
          <w:color w:val="000000"/>
          <w:sz w:val="44"/>
          <w:szCs w:val="44"/>
          <w:shd w:val="clear" w:fill="FFFFFF"/>
        </w:rPr>
        <w:t>行政许可事项清单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大标宋_GBK" w:hAnsi="方正大标宋_GBK" w:eastAsia="方正大标宋_GBK" w:cs="方正大标宋_GBK"/>
          <w:b w:val="0"/>
          <w:bCs w:val="0"/>
          <w:color w:val="000000"/>
          <w:sz w:val="44"/>
          <w:szCs w:val="44"/>
          <w:shd w:val="clear" w:fill="FFFFFF"/>
        </w:rPr>
      </w:pPr>
      <w:r>
        <w:rPr>
          <w:rFonts w:hint="eastAsia" w:ascii="方正大标宋_GBK" w:hAnsi="方正大标宋_GBK" w:eastAsia="方正大标宋_GBK" w:cs="方正大标宋_GBK"/>
          <w:b w:val="0"/>
          <w:bCs w:val="0"/>
          <w:color w:val="000000"/>
          <w:sz w:val="44"/>
          <w:szCs w:val="44"/>
          <w:shd w:val="clear" w:fill="FFFFFF"/>
          <w:lang w:eastAsia="zh-CN"/>
        </w:rPr>
        <w:t>（</w:t>
      </w:r>
      <w:r>
        <w:rPr>
          <w:rFonts w:hint="eastAsia" w:ascii="方正大标宋_GBK" w:hAnsi="方正大标宋_GBK" w:eastAsia="方正大标宋_GBK" w:cs="方正大标宋_GBK"/>
          <w:b w:val="0"/>
          <w:bCs w:val="0"/>
          <w:color w:val="000000"/>
          <w:sz w:val="44"/>
          <w:szCs w:val="44"/>
          <w:shd w:val="clear" w:fill="FFFFFF"/>
          <w:lang w:val="en-US" w:eastAsia="zh-CN"/>
        </w:rPr>
        <w:t>2022年版）》</w:t>
      </w:r>
      <w:r>
        <w:rPr>
          <w:rFonts w:hint="eastAsia" w:ascii="方正大标宋_GBK" w:hAnsi="方正大标宋_GBK" w:eastAsia="方正大标宋_GBK" w:cs="方正大标宋_GBK"/>
          <w:b w:val="0"/>
          <w:bCs w:val="0"/>
          <w:color w:val="000000"/>
          <w:sz w:val="44"/>
          <w:szCs w:val="44"/>
          <w:shd w:val="clear" w:fill="FFFFFF"/>
        </w:rPr>
        <w:t>的通知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color w:val="000000"/>
          <w:sz w:val="32"/>
          <w:szCs w:val="32"/>
          <w:shd w:val="clear" w:fill="FFFFFF"/>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default" w:ascii="Times New Roman" w:hAnsi="Times New Roman" w:eastAsia="楷体_GB2312" w:cs="Times New Roman"/>
          <w:color w:val="000000"/>
          <w:sz w:val="32"/>
          <w:szCs w:val="32"/>
          <w:shd w:val="clear" w:fill="FFFFFF"/>
        </w:rPr>
      </w:pPr>
      <w:r>
        <w:rPr>
          <w:rFonts w:hint="default" w:ascii="Times New Roman" w:hAnsi="Times New Roman" w:eastAsia="楷体_GB2312" w:cs="Times New Roman"/>
          <w:color w:val="000000"/>
          <w:sz w:val="32"/>
          <w:szCs w:val="32"/>
          <w:shd w:val="clear" w:fill="FFFFFF"/>
          <w:lang w:eastAsia="zh-CN"/>
        </w:rPr>
        <w:t>各乡镇人民政府、街道办事处</w:t>
      </w:r>
      <w:r>
        <w:rPr>
          <w:rFonts w:hint="eastAsia" w:ascii="Times New Roman" w:hAnsi="Times New Roman" w:eastAsia="楷体_GB2312" w:cs="Times New Roman"/>
          <w:color w:val="000000"/>
          <w:sz w:val="32"/>
          <w:szCs w:val="32"/>
          <w:shd w:val="clear" w:fill="FFFFFF"/>
          <w:lang w:eastAsia="zh-CN"/>
        </w:rPr>
        <w:t>，</w:t>
      </w:r>
      <w:r>
        <w:rPr>
          <w:rFonts w:hint="default" w:ascii="Times New Roman" w:hAnsi="Times New Roman" w:eastAsia="楷体_GB2312" w:cs="Times New Roman"/>
          <w:color w:val="000000"/>
          <w:sz w:val="32"/>
          <w:szCs w:val="32"/>
          <w:shd w:val="clear" w:fill="FFFFFF"/>
          <w:lang w:eastAsia="zh-CN"/>
        </w:rPr>
        <w:t>市直相关单位</w:t>
      </w:r>
      <w:r>
        <w:rPr>
          <w:rFonts w:hint="default" w:ascii="Times New Roman" w:hAnsi="Times New Roman" w:eastAsia="楷体_GB2312" w:cs="Times New Roman"/>
          <w:color w:val="000000"/>
          <w:sz w:val="32"/>
          <w:szCs w:val="32"/>
          <w:shd w:val="clear" w:fill="FFFFFF"/>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Times New Roman" w:hAnsi="Times New Roman" w:eastAsia="楷体_GB2312" w:cs="Times New Roman"/>
          <w:color w:val="000000"/>
          <w:sz w:val="32"/>
          <w:szCs w:val="32"/>
          <w:shd w:val="clear" w:fill="FFFFFF"/>
          <w:lang w:eastAsia="zh-CN"/>
        </w:rPr>
      </w:pPr>
      <w:r>
        <w:rPr>
          <w:rFonts w:hint="default" w:ascii="Times New Roman" w:hAnsi="Times New Roman" w:eastAsia="楷体_GB2312" w:cs="Times New Roman"/>
          <w:color w:val="000000"/>
          <w:sz w:val="32"/>
          <w:szCs w:val="32"/>
          <w:shd w:val="clear" w:fill="FFFFFF"/>
          <w:lang w:eastAsia="zh-CN"/>
        </w:rPr>
        <w:t>《常宁市行政许可事项清单（</w:t>
      </w:r>
      <w:r>
        <w:rPr>
          <w:rFonts w:hint="default" w:ascii="Times New Roman" w:hAnsi="Times New Roman" w:eastAsia="楷体_GB2312" w:cs="Times New Roman"/>
          <w:color w:val="000000"/>
          <w:sz w:val="32"/>
          <w:szCs w:val="32"/>
          <w:shd w:val="clear" w:fill="FFFFFF"/>
          <w:lang w:val="en-US" w:eastAsia="zh-CN"/>
        </w:rPr>
        <w:t>2022年版</w:t>
      </w:r>
      <w:r>
        <w:rPr>
          <w:rFonts w:hint="default" w:ascii="Times New Roman" w:hAnsi="Times New Roman" w:eastAsia="楷体_GB2312" w:cs="Times New Roman"/>
          <w:color w:val="000000"/>
          <w:sz w:val="32"/>
          <w:szCs w:val="32"/>
          <w:shd w:val="clear" w:fill="FFFFFF"/>
          <w:lang w:eastAsia="zh-CN"/>
        </w:rPr>
        <w:t>）》已经市人民政府同意，现印发给你们，请结合实际认真贯彻落实。</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Times New Roman" w:hAnsi="Times New Roman" w:eastAsia="楷体_GB2312" w:cs="Times New Roman"/>
          <w:color w:val="000000"/>
          <w:sz w:val="32"/>
          <w:szCs w:val="32"/>
          <w:shd w:val="clear" w:fill="FFFFFF"/>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Times New Roman" w:hAnsi="Times New Roman" w:eastAsia="楷体_GB2312" w:cs="Times New Roman"/>
          <w:color w:val="000000"/>
          <w:sz w:val="32"/>
          <w:szCs w:val="32"/>
          <w:shd w:val="clear" w:fill="FFFFFF"/>
          <w:lang w:eastAsia="zh-CN"/>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color w:val="000000"/>
          <w:sz w:val="32"/>
          <w:szCs w:val="32"/>
          <w:shd w:val="clear" w:fill="FFFFFF"/>
          <w:lang w:eastAsia="zh-CN"/>
        </w:rPr>
        <w:t>常宁市</w:t>
      </w:r>
      <w:r>
        <w:rPr>
          <w:rFonts w:hint="default" w:ascii="Times New Roman" w:hAnsi="Times New Roman" w:eastAsia="楷体_GB2312" w:cs="Times New Roman"/>
          <w:color w:val="000000"/>
          <w:sz w:val="32"/>
          <w:szCs w:val="32"/>
          <w:shd w:val="clear" w:fill="FFFFFF"/>
        </w:rPr>
        <w:t>人民政府办公</w:t>
      </w:r>
      <w:r>
        <w:rPr>
          <w:rFonts w:hint="default" w:ascii="Times New Roman" w:hAnsi="Times New Roman" w:eastAsia="楷体_GB2312" w:cs="Times New Roman"/>
          <w:color w:val="000000"/>
          <w:sz w:val="32"/>
          <w:szCs w:val="32"/>
          <w:shd w:val="clear" w:fill="FFFFFF"/>
          <w:lang w:eastAsia="zh-CN"/>
        </w:rPr>
        <w:t>室</w:t>
      </w:r>
      <w:r>
        <w:rPr>
          <w:rFonts w:hint="eastAsia" w:ascii="Times New Roman" w:hAnsi="Times New Roman" w:eastAsia="楷体_GB2312" w:cs="Times New Roman"/>
          <w:color w:val="000000"/>
          <w:sz w:val="32"/>
          <w:szCs w:val="32"/>
          <w:shd w:val="clear" w:fill="FFFFFF"/>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440" w:firstLineChars="1700"/>
        <w:jc w:val="left"/>
        <w:textAlignment w:val="auto"/>
        <w:rPr>
          <w:rFonts w:hint="default" w:ascii="Times New Roman" w:hAnsi="Times New Roman" w:eastAsia="楷体_GB2312" w:cs="Times New Roman"/>
          <w:color w:val="000000"/>
          <w:sz w:val="32"/>
          <w:szCs w:val="32"/>
          <w:shd w:val="clear" w:fill="FFFFFF"/>
        </w:rPr>
      </w:pPr>
      <w:r>
        <w:rPr>
          <w:rFonts w:hint="default" w:ascii="Times New Roman" w:hAnsi="Times New Roman" w:eastAsia="楷体_GB2312" w:cs="Times New Roman"/>
          <w:color w:val="000000"/>
          <w:sz w:val="32"/>
          <w:szCs w:val="32"/>
          <w:shd w:val="clear" w:fill="FFFFFF"/>
        </w:rPr>
        <w:t>2022年</w:t>
      </w:r>
      <w:r>
        <w:rPr>
          <w:rFonts w:hint="eastAsia" w:ascii="Times New Roman" w:hAnsi="Times New Roman" w:eastAsia="楷体_GB2312" w:cs="Times New Roman"/>
          <w:color w:val="000000"/>
          <w:sz w:val="32"/>
          <w:szCs w:val="32"/>
          <w:shd w:val="clear" w:fill="FFFFFF"/>
          <w:lang w:val="en-US" w:eastAsia="zh-CN"/>
        </w:rPr>
        <w:t>8</w:t>
      </w:r>
      <w:r>
        <w:rPr>
          <w:rFonts w:hint="default" w:ascii="Times New Roman" w:hAnsi="Times New Roman" w:eastAsia="楷体_GB2312" w:cs="Times New Roman"/>
          <w:color w:val="000000"/>
          <w:sz w:val="32"/>
          <w:szCs w:val="32"/>
          <w:shd w:val="clear" w:fill="FFFFFF"/>
        </w:rPr>
        <w:t>月</w:t>
      </w:r>
      <w:r>
        <w:rPr>
          <w:rFonts w:hint="eastAsia" w:ascii="Times New Roman" w:hAnsi="Times New Roman" w:eastAsia="楷体_GB2312" w:cs="Times New Roman"/>
          <w:color w:val="000000"/>
          <w:sz w:val="32"/>
          <w:szCs w:val="32"/>
          <w:shd w:val="clear" w:fill="FFFFFF"/>
          <w:lang w:val="en-US" w:eastAsia="zh-CN"/>
        </w:rPr>
        <w:t>30</w:t>
      </w:r>
      <w:r>
        <w:rPr>
          <w:rFonts w:hint="default" w:ascii="Times New Roman" w:hAnsi="Times New Roman" w:eastAsia="楷体_GB2312" w:cs="Times New Roman"/>
          <w:color w:val="000000"/>
          <w:sz w:val="32"/>
          <w:szCs w:val="32"/>
          <w:shd w:val="clear" w:fill="FFFFFF"/>
        </w:rPr>
        <w:t>日</w:t>
      </w:r>
    </w:p>
    <w:p>
      <w:pPr>
        <w:pStyle w:val="2"/>
        <w:ind w:left="0" w:leftChars="0" w:firstLine="0" w:firstLineChars="0"/>
        <w:rPr>
          <w:rFonts w:hint="eastAsia" w:eastAsia="楷体_GB2312" w:cs="Times New Roman"/>
          <w:w w:val="100"/>
          <w:sz w:val="32"/>
          <w:szCs w:val="40"/>
          <w:lang w:eastAsia="zh-CN"/>
        </w:rPr>
      </w:pPr>
    </w:p>
    <w:p>
      <w:pPr>
        <w:pStyle w:val="2"/>
        <w:ind w:left="0" w:leftChars="0" w:firstLine="0" w:firstLineChars="0"/>
        <w:rPr>
          <w:rFonts w:hint="eastAsia" w:eastAsia="楷体_GB2312" w:cs="Times New Roman"/>
          <w:w w:val="100"/>
          <w:sz w:val="32"/>
          <w:szCs w:val="40"/>
          <w:lang w:eastAsia="zh-CN"/>
        </w:rPr>
      </w:pPr>
    </w:p>
    <w:p>
      <w:pPr>
        <w:pStyle w:val="2"/>
        <w:ind w:left="0" w:leftChars="0" w:firstLine="0" w:firstLineChars="0"/>
        <w:rPr>
          <w:rFonts w:hint="default" w:ascii="Times New Roman" w:hAnsi="Times New Roman" w:eastAsia="楷体_GB2312" w:cs="Times New Roman"/>
          <w:color w:val="000000"/>
          <w:sz w:val="32"/>
          <w:szCs w:val="32"/>
          <w:shd w:val="clear" w:fill="FFFFFF"/>
          <w:lang w:eastAsia="zh-CN"/>
        </w:rPr>
      </w:pPr>
      <w:r>
        <w:rPr>
          <w:rFonts w:hint="eastAsia" w:eastAsia="楷体_GB2312" w:cs="Times New Roman"/>
          <w:w w:val="100"/>
          <w:sz w:val="32"/>
          <w:szCs w:val="40"/>
          <w:lang w:eastAsia="zh-CN"/>
        </w:rPr>
        <w:t>（</w:t>
      </w:r>
      <w:r>
        <w:rPr>
          <w:rFonts w:hint="eastAsia" w:eastAsia="楷体_GB2312" w:cs="Times New Roman"/>
          <w:w w:val="100"/>
          <w:sz w:val="32"/>
          <w:szCs w:val="40"/>
          <w:lang w:val="en-US" w:eastAsia="zh-CN"/>
        </w:rPr>
        <w:t>此件主动公开</w:t>
      </w:r>
      <w:r>
        <w:rPr>
          <w:rFonts w:hint="eastAsia" w:eastAsia="楷体_GB2312" w:cs="Times New Roman"/>
          <w:w w:val="100"/>
          <w:sz w:val="32"/>
          <w:szCs w:val="40"/>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楷体_GB2312" w:cs="Times New Roman"/>
          <w:color w:val="000000"/>
          <w:sz w:val="32"/>
          <w:szCs w:val="32"/>
          <w:shd w:val="clear" w:fill="FFFFFF"/>
          <w:lang w:eastAsia="zh-CN"/>
        </w:rPr>
        <w:sectPr>
          <w:pgSz w:w="11906" w:h="16838"/>
          <w:pgMar w:top="2098" w:right="1417" w:bottom="1701" w:left="1587" w:header="851" w:footer="992" w:gutter="0"/>
          <w:pgBorders>
            <w:top w:val="none" w:sz="0" w:space="0"/>
            <w:left w:val="none" w:sz="0" w:space="0"/>
            <w:bottom w:val="none" w:sz="0" w:space="0"/>
            <w:right w:val="none" w:sz="0" w:space="0"/>
          </w:pgBorders>
          <w:cols w:space="425" w:num="1"/>
          <w:docGrid w:type="lines" w:linePitch="312" w:charSpace="0"/>
        </w:sectPr>
      </w:pPr>
      <w:r>
        <w:rPr>
          <w:sz w:val="32"/>
        </w:rPr>
        <mc:AlternateContent>
          <mc:Choice Requires="wps">
            <w:drawing>
              <wp:anchor distT="0" distB="0" distL="114300" distR="114300" simplePos="0" relativeHeight="251664384" behindDoc="0" locked="0" layoutInCell="1" allowOverlap="1">
                <wp:simplePos x="0" y="0"/>
                <wp:positionH relativeFrom="column">
                  <wp:posOffset>4968240</wp:posOffset>
                </wp:positionH>
                <wp:positionV relativeFrom="paragraph">
                  <wp:posOffset>-20955</wp:posOffset>
                </wp:positionV>
                <wp:extent cx="685800" cy="371475"/>
                <wp:effectExtent l="0" t="0" r="0" b="9525"/>
                <wp:wrapNone/>
                <wp:docPr id="13" name="文本框 13"/>
                <wp:cNvGraphicFramePr/>
                <a:graphic xmlns:a="http://schemas.openxmlformats.org/drawingml/2006/main">
                  <a:graphicData uri="http://schemas.microsoft.com/office/word/2010/wordprocessingShape">
                    <wps:wsp>
                      <wps:cNvSpPr txBox="1"/>
                      <wps:spPr>
                        <a:xfrm>
                          <a:off x="5975985" y="9591040"/>
                          <a:ext cx="685800" cy="3714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- 1 -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1.2pt;margin-top:-1.65pt;height:29.25pt;width:54pt;z-index:251664384;mso-width-relative:page;mso-height-relative:page;" fillcolor="#FFFFFF [3201]" filled="t" stroked="f" coordsize="21600,21600" o:gfxdata="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soDQjV&#10;AAAACQEAAA8AAAAAAAAAAQAgAAAAIgAAAGRycy9kb3ducmV2LnhtbFBLAQIUABQAAAAIAIdO4kDf&#10;j6oeXAIAAJwEAAAOAAAAAAAAAAEAIAAAACQBAABkcnMvZTJvRG9jLnhtbFBLBQYAAAAABgAGAFkB&#10;AADy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- 1 -</w:t>
                      </w:r>
                    </w:p>
                  </w:txbxContent>
                </v:textbox>
              </v:shape>
            </w:pict>
          </mc:Fallback>
        </mc:AlternateContent>
      </w:r>
    </w:p>
    <w:tbl>
      <w:tblPr>
        <w:tblStyle w:val="7"/>
        <w:tblW w:w="160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4"/>
        <w:gridCol w:w="1650"/>
        <w:gridCol w:w="4748"/>
        <w:gridCol w:w="1747"/>
        <w:gridCol w:w="4575"/>
        <w:gridCol w:w="2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16012" w:type="dxa"/>
            <w:gridSpan w:val="6"/>
            <w:tcBorders>
              <w:top w:val="nil"/>
              <w:left w:val="nil"/>
              <w:bottom w:val="nil"/>
              <w:right w:val="nil"/>
            </w:tcBorders>
            <w:shd w:val="clear" w:color="auto" w:fill="auto"/>
            <w:noWrap/>
            <w:vAlign w:val="center"/>
          </w:tcPr>
          <w:p>
            <w:pPr>
              <w:keepNext w:val="0"/>
              <w:keepLines w:val="0"/>
              <w:widowControl/>
              <w:suppressLineNumbers w:val="0"/>
              <w:jc w:val="both"/>
              <w:textAlignment w:val="center"/>
              <w:rPr>
                <w:rStyle w:val="25"/>
                <w:rFonts w:hint="default" w:ascii="Times New Roman" w:hAnsi="Times New Roman" w:cs="Times New Roman"/>
                <w:b w:val="0"/>
                <w:bCs w:val="0"/>
                <w:color w:val="000000" w:themeColor="text1"/>
                <w:lang w:val="en-US" w:eastAsia="zh-CN" w:bidi="ar"/>
                <w14:textFill>
                  <w14:solidFill>
                    <w14:schemeClr w14:val="tx1"/>
                  </w14:solidFill>
                </w14:textFill>
              </w:rPr>
            </w:pPr>
            <w:r>
              <w:rPr>
                <w:rStyle w:val="25"/>
                <w:rFonts w:hint="default" w:ascii="Times New Roman" w:hAnsi="Times New Roman" w:cs="Times New Roman"/>
                <w:b w:val="0"/>
                <w:bCs w:val="0"/>
                <w:color w:val="000000" w:themeColor="text1"/>
                <w:lang w:val="en-US" w:eastAsia="zh-CN" w:bidi="ar"/>
                <w14:textFill>
                  <w14:solidFill>
                    <w14:schemeClr w14:val="tx1"/>
                  </w14:solidFill>
                </w14:textFill>
              </w:rPr>
              <w:t xml:space="preserve">   </w:t>
            </w:r>
            <w:r>
              <w:rPr>
                <w:rStyle w:val="25"/>
                <w:rFonts w:hint="default" w:ascii="Times New Roman" w:hAnsi="Times New Roman" w:eastAsia="黑体" w:cs="Times New Roman"/>
                <w:b w:val="0"/>
                <w:bCs w:val="0"/>
                <w:color w:val="000000" w:themeColor="text1"/>
                <w:sz w:val="28"/>
                <w:szCs w:val="28"/>
                <w:lang w:val="en-US" w:eastAsia="zh-CN" w:bidi="ar"/>
                <w14:textFill>
                  <w14:solidFill>
                    <w14:schemeClr w14:val="tx1"/>
                  </w14:solidFill>
                </w14:textFill>
              </w:rPr>
              <w:t xml:space="preserve">附件： </w:t>
            </w:r>
            <w:r>
              <w:rPr>
                <w:rStyle w:val="25"/>
                <w:rFonts w:hint="default" w:ascii="Times New Roman" w:hAnsi="Times New Roman" w:cs="Times New Roman"/>
                <w:b w:val="0"/>
                <w:bCs w:val="0"/>
                <w:color w:val="000000" w:themeColor="text1"/>
                <w:lang w:val="en-US" w:eastAsia="zh-CN" w:bidi="ar"/>
                <w14:textFill>
                  <w14:solidFill>
                    <w14:schemeClr w14:val="tx1"/>
                  </w14:solidFill>
                </w14:textFill>
              </w:rPr>
              <w:t xml:space="preserve">  </w:t>
            </w:r>
          </w:p>
          <w:p>
            <w:pPr>
              <w:keepNext w:val="0"/>
              <w:keepLines w:val="0"/>
              <w:widowControl/>
              <w:suppressLineNumbers w:val="0"/>
              <w:jc w:val="center"/>
              <w:textAlignment w:val="center"/>
              <w:rPr>
                <w:rFonts w:hint="default" w:ascii="Times New Roman" w:hAnsi="Times New Roman" w:eastAsia="方正大标宋_GBK" w:cs="Times New Roman"/>
                <w:b w:val="0"/>
                <w:bCs w:val="0"/>
                <w:i w:val="0"/>
                <w:iCs w:val="0"/>
                <w:color w:val="000000" w:themeColor="text1"/>
                <w:sz w:val="44"/>
                <w:szCs w:val="44"/>
                <w:u w:val="none"/>
                <w14:textFill>
                  <w14:solidFill>
                    <w14:schemeClr w14:val="tx1"/>
                  </w14:solidFill>
                </w14:textFill>
              </w:rPr>
            </w:pPr>
            <w:r>
              <w:rPr>
                <w:rStyle w:val="25"/>
                <w:rFonts w:hint="default" w:ascii="Times New Roman" w:hAnsi="Times New Roman" w:cs="Times New Roman"/>
                <w:b w:val="0"/>
                <w:bCs w:val="0"/>
                <w:color w:val="000000" w:themeColor="text1"/>
                <w:lang w:val="en-US" w:eastAsia="zh-CN" w:bidi="ar"/>
                <w14:textFill>
                  <w14:solidFill>
                    <w14:schemeClr w14:val="tx1"/>
                  </w14:solidFill>
                </w14:textFill>
              </w:rPr>
              <w:t>常宁市行政许可事项清单（</w:t>
            </w:r>
            <w:r>
              <w:rPr>
                <w:rStyle w:val="26"/>
                <w:rFonts w:hint="default" w:ascii="Times New Roman" w:hAnsi="Times New Roman" w:eastAsia="方正大标宋_GBK" w:cs="Times New Roman"/>
                <w:b w:val="0"/>
                <w:bCs w:val="0"/>
                <w:color w:val="000000" w:themeColor="text1"/>
                <w:lang w:val="en-US" w:eastAsia="zh-CN" w:bidi="ar"/>
                <w14:textFill>
                  <w14:solidFill>
                    <w14:schemeClr w14:val="tx1"/>
                  </w14:solidFill>
                </w14:textFill>
              </w:rPr>
              <w:t>2022</w:t>
            </w:r>
            <w:r>
              <w:rPr>
                <w:rStyle w:val="25"/>
                <w:rFonts w:hint="default" w:ascii="Times New Roman" w:hAnsi="Times New Roman" w:cs="Times New Roman"/>
                <w:b w:val="0"/>
                <w:bCs w:val="0"/>
                <w:color w:val="000000" w:themeColor="text1"/>
                <w:lang w:val="en-US" w:eastAsia="zh-CN" w:bidi="ar"/>
                <w14:textFill>
                  <w14:solidFill>
                    <w14:schemeClr w14:val="tx1"/>
                  </w14:solidFill>
                </w14:textFill>
              </w:rPr>
              <w:t>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6012"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黑体" w:cs="Times New Roman"/>
                <w:b w:val="0"/>
                <w:bCs w:val="0"/>
                <w:i w:val="0"/>
                <w:iCs w:val="0"/>
                <w:color w:val="000000" w:themeColor="text1"/>
                <w:sz w:val="32"/>
                <w:szCs w:val="32"/>
                <w:u w:val="none"/>
                <w14:textFill>
                  <w14:solidFill>
                    <w14:schemeClr w14:val="tx1"/>
                  </w14:solidFill>
                </w14:textFill>
              </w:rPr>
            </w:pPr>
            <w:r>
              <w:rPr>
                <w:rFonts w:hint="default" w:ascii="Times New Roman" w:hAnsi="Times New Roman" w:eastAsia="黑体" w:cs="Times New Roman"/>
                <w:b w:val="0"/>
                <w:bCs w:val="0"/>
                <w:i w:val="0"/>
                <w:iCs w:val="0"/>
                <w:color w:val="000000" w:themeColor="text1"/>
                <w:kern w:val="0"/>
                <w:sz w:val="32"/>
                <w:szCs w:val="32"/>
                <w:u w:val="none"/>
                <w:lang w:val="en-US" w:eastAsia="zh-CN" w:bidi="ar"/>
                <w14:textFill>
                  <w14:solidFill>
                    <w14:schemeClr w14:val="tx1"/>
                  </w14:solidFill>
                </w14:textFill>
              </w:rPr>
              <w:t xml:space="preserve">    一、法律、行政法规、国务院决定设定由湖南省实施的行政许可事项（23</w:t>
            </w:r>
            <w:r>
              <w:rPr>
                <w:rFonts w:hint="eastAsia" w:ascii="Times New Roman" w:hAnsi="Times New Roman" w:eastAsia="黑体" w:cs="Times New Roman"/>
                <w:b w:val="0"/>
                <w:bCs w:val="0"/>
                <w:i w:val="0"/>
                <w:iCs w:val="0"/>
                <w:color w:val="000000" w:themeColor="text1"/>
                <w:kern w:val="0"/>
                <w:sz w:val="32"/>
                <w:szCs w:val="32"/>
                <w:u w:val="none"/>
                <w:lang w:val="en-US" w:eastAsia="zh-CN" w:bidi="ar"/>
                <w14:textFill>
                  <w14:solidFill>
                    <w14:schemeClr w14:val="tx1"/>
                  </w14:solidFill>
                </w14:textFill>
              </w:rPr>
              <w:t>2</w:t>
            </w:r>
            <w:r>
              <w:rPr>
                <w:rFonts w:hint="default" w:ascii="Times New Roman" w:hAnsi="Times New Roman" w:eastAsia="黑体" w:cs="Times New Roman"/>
                <w:b w:val="0"/>
                <w:bCs w:val="0"/>
                <w:i w:val="0"/>
                <w:iCs w:val="0"/>
                <w:color w:val="000000" w:themeColor="text1"/>
                <w:kern w:val="0"/>
                <w:sz w:val="32"/>
                <w:szCs w:val="32"/>
                <w:u w:val="none"/>
                <w:lang w:val="en-US" w:eastAsia="zh-CN" w:bidi="ar"/>
                <w14:textFill>
                  <w14:solidFill>
                    <w14:schemeClr w14:val="tx1"/>
                  </w14:solidFill>
                </w14:textFill>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themeColor="text1"/>
                <w:sz w:val="22"/>
                <w:szCs w:val="22"/>
                <w:u w:val="none"/>
                <w14:textFill>
                  <w14:solidFill>
                    <w14:schemeClr w14:val="tx1"/>
                  </w14:solidFill>
                </w14:textFill>
              </w:rPr>
            </w:pPr>
            <w:r>
              <w:rPr>
                <w:rStyle w:val="27"/>
                <w:rFonts w:hint="default" w:ascii="Times New Roman" w:hAnsi="Times New Roman" w:cs="Times New Roman"/>
                <w:b w:val="0"/>
                <w:bCs w:val="0"/>
                <w:color w:val="000000" w:themeColor="text1"/>
                <w:lang w:val="en-US" w:eastAsia="zh-CN" w:bidi="ar"/>
                <w14:textFill>
                  <w14:solidFill>
                    <w14:schemeClr w14:val="tx1"/>
                  </w14:solidFill>
                </w14:textFill>
              </w:rPr>
              <w:t>序号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themeColor="text1"/>
                <w:sz w:val="22"/>
                <w:szCs w:val="22"/>
                <w:u w:val="none"/>
                <w14:textFill>
                  <w14:solidFill>
                    <w14:schemeClr w14:val="tx1"/>
                  </w14:solidFill>
                </w14:textFill>
              </w:rPr>
            </w:pPr>
            <w:r>
              <w:rPr>
                <w:rStyle w:val="27"/>
                <w:rFonts w:hint="default" w:ascii="Times New Roman" w:hAnsi="Times New Roman" w:cs="Times New Roman"/>
                <w:b w:val="0"/>
                <w:bCs w:val="0"/>
                <w:color w:val="000000" w:themeColor="text1"/>
                <w:lang w:val="en-US" w:eastAsia="zh-CN" w:bidi="ar"/>
                <w14:textFill>
                  <w14:solidFill>
                    <w14:schemeClr w14:val="tx1"/>
                  </w14:solidFill>
                </w14:textFill>
              </w:rPr>
              <w:t>主管部门</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themeColor="text1"/>
                <w:sz w:val="22"/>
                <w:szCs w:val="22"/>
                <w:u w:val="none"/>
                <w14:textFill>
                  <w14:solidFill>
                    <w14:schemeClr w14:val="tx1"/>
                  </w14:solidFill>
                </w14:textFill>
              </w:rPr>
            </w:pPr>
            <w:r>
              <w:rPr>
                <w:rStyle w:val="27"/>
                <w:rFonts w:hint="default" w:ascii="Times New Roman" w:hAnsi="Times New Roman" w:cs="Times New Roman"/>
                <w:b w:val="0"/>
                <w:bCs w:val="0"/>
                <w:color w:val="000000" w:themeColor="text1"/>
                <w:lang w:val="en-US" w:eastAsia="zh-CN" w:bidi="ar"/>
                <w14:textFill>
                  <w14:solidFill>
                    <w14:schemeClr w14:val="tx1"/>
                  </w14:solidFill>
                </w14:textFill>
              </w:rPr>
              <w:t>事项名称</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themeColor="text1"/>
                <w:sz w:val="22"/>
                <w:szCs w:val="22"/>
                <w:u w:val="none"/>
                <w14:textFill>
                  <w14:solidFill>
                    <w14:schemeClr w14:val="tx1"/>
                  </w14:solidFill>
                </w14:textFill>
              </w:rPr>
            </w:pPr>
            <w:r>
              <w:rPr>
                <w:rStyle w:val="27"/>
                <w:rFonts w:hint="default" w:ascii="Times New Roman" w:hAnsi="Times New Roman" w:cs="Times New Roman"/>
                <w:b w:val="0"/>
                <w:bCs w:val="0"/>
                <w:color w:val="000000" w:themeColor="text1"/>
                <w:lang w:val="en-US" w:eastAsia="zh-CN" w:bidi="ar"/>
                <w14:textFill>
                  <w14:solidFill>
                    <w14:schemeClr w14:val="tx1"/>
                  </w14:solidFill>
                </w14:textFill>
              </w:rPr>
              <w:t>实施机关</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themeColor="text1"/>
                <w:sz w:val="22"/>
                <w:szCs w:val="22"/>
                <w:u w:val="none"/>
                <w14:textFill>
                  <w14:solidFill>
                    <w14:schemeClr w14:val="tx1"/>
                  </w14:solidFill>
                </w14:textFill>
              </w:rPr>
            </w:pPr>
            <w:r>
              <w:rPr>
                <w:rStyle w:val="27"/>
                <w:rFonts w:hint="default" w:ascii="Times New Roman" w:hAnsi="Times New Roman" w:cs="Times New Roman"/>
                <w:b w:val="0"/>
                <w:bCs w:val="0"/>
                <w:color w:val="000000" w:themeColor="text1"/>
                <w:lang w:val="en-US" w:eastAsia="zh-CN" w:bidi="ar"/>
                <w14:textFill>
                  <w14:solidFill>
                    <w14:schemeClr w14:val="tx1"/>
                  </w14:solidFill>
                </w14:textFill>
              </w:rPr>
              <w:t>设定和实施依据</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themeColor="text1"/>
                <w:sz w:val="22"/>
                <w:szCs w:val="22"/>
                <w:u w:val="none"/>
                <w14:textFill>
                  <w14:solidFill>
                    <w14:schemeClr w14:val="tx1"/>
                  </w14:solidFill>
                </w14:textFill>
              </w:rPr>
            </w:pPr>
            <w:r>
              <w:rPr>
                <w:rStyle w:val="27"/>
                <w:rFonts w:hint="default" w:ascii="Times New Roman" w:hAnsi="Times New Roman" w:cs="Times New Roman"/>
                <w:b w:val="0"/>
                <w:bCs w:val="0"/>
                <w:color w:val="000000" w:themeColor="text1"/>
                <w:lang w:val="en-US" w:eastAsia="zh-CN" w:bidi="ar"/>
                <w14:textFill>
                  <w14:solidFill>
                    <w14:schemeClr w14:val="tx1"/>
                  </w14:solidFill>
                </w14:textFill>
              </w:rPr>
              <w:t>备</w:t>
            </w:r>
            <w:r>
              <w:rPr>
                <w:rStyle w:val="28"/>
                <w:rFonts w:hint="default" w:ascii="Times New Roman" w:hAnsi="Times New Roman" w:eastAsia="宋体" w:cs="Times New Roman"/>
                <w:b w:val="0"/>
                <w:bCs w:val="0"/>
                <w:color w:val="000000" w:themeColor="text1"/>
                <w:lang w:val="en-US" w:eastAsia="zh-CN" w:bidi="ar"/>
                <w14:textFill>
                  <w14:solidFill>
                    <w14:schemeClr w14:val="tx1"/>
                  </w14:solidFill>
                </w14:textFill>
              </w:rPr>
              <w:t xml:space="preserve">   </w:t>
            </w:r>
            <w:r>
              <w:rPr>
                <w:rStyle w:val="27"/>
                <w:rFonts w:hint="default" w:ascii="Times New Roman" w:hAnsi="Times New Roman" w:cs="Times New Roman"/>
                <w:b w:val="0"/>
                <w:bCs w:val="0"/>
                <w:color w:val="000000" w:themeColor="text1"/>
                <w:lang w:val="en-US" w:eastAsia="zh-CN" w:bidi="ar"/>
                <w14:textFill>
                  <w14:solidFill>
                    <w14:schemeClr w14:val="tx1"/>
                  </w14:solidFill>
                </w14:textFill>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exac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发展和改革局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固定资产投资项目核准（含国发〔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72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号文件规定的外商投资项目）</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发展和改革局</w:t>
            </w:r>
          </w:p>
        </w:tc>
        <w:tc>
          <w:tcPr>
            <w:tcW w:w="4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《企业投资项目核准和备案管理条例》</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 xml:space="preserve">                              </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《国务院关于发布政府核准的投资项目目录（</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年本）的通知》（国发〔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72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发展和改革局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在电力设施周围或者电力设施保护区内进行可能危及电力设施安全作业审批</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发展和改革局</w:t>
            </w:r>
          </w:p>
        </w:tc>
        <w:tc>
          <w:tcPr>
            <w:tcW w:w="4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《中华人民共和国电力法》</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 xml:space="preserve"> </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br w:type="textWrapping"/>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 xml:space="preserve"> </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《电力设施保护条例》</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exac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发展和改革局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固定资产投资项目核准</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发展和改革局</w:t>
            </w:r>
          </w:p>
        </w:tc>
        <w:tc>
          <w:tcPr>
            <w:tcW w:w="4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《企业投资项目核准和备案管理条例》</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《国务院关于发布政府核准的投资项目目录（</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年本）的通知》（国发〔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72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涉及能源项目核准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9"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发展和改革局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新建不能满足管道保护要求的石油天然气管道防护方案审批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发展和改革局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《中华人民共和国石油天然气管道保护法》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发展和改革局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可能影响石油天然气管道保护的施工作业审批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发展和改革局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《中华人民共和国石油天然气管道保护法》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教育局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民办、中外合作开办中等及以下学校及其他教育机构筹设审批</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教育局</w:t>
            </w:r>
          </w:p>
        </w:tc>
        <w:tc>
          <w:tcPr>
            <w:tcW w:w="4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《中华人民共和国民办教育促进法》</w:t>
            </w:r>
          </w:p>
          <w:p>
            <w:pPr>
              <w:keepNext w:val="0"/>
              <w:keepLines w:val="0"/>
              <w:widowControl/>
              <w:suppressLineNumbers w:val="0"/>
              <w:jc w:val="left"/>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《中华人民共和国中外合作办学条例》</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《国务院关于当前发展学前教育的若干意见》（国发〔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2010</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41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教育局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中等及以下学校和其他教育机构设置审批</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教育局</w:t>
            </w:r>
          </w:p>
        </w:tc>
        <w:tc>
          <w:tcPr>
            <w:tcW w:w="4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《中华人民共和国教育法》</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《中华人民共和国民办教育促进法实施条例》</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《国务院关于当前发展学前教育的若干意见》（国发〔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2010</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41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《国务院办公厅关于规范校外培训机构发展的意见》（国办发〔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80</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教育局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从事文艺、体育等专业训练的社会组织自行实施义务教育审批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教育局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《中华人民共和国义务教育法》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教育局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校车使用许可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教育局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《校车安全管理条例》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教育局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教师资格认定</w:t>
            </w:r>
          </w:p>
        </w:tc>
        <w:tc>
          <w:tcPr>
            <w:tcW w:w="174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教育局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《中华人民共和国教师法》</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《教师资格条例》</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《国家职业资格目录（</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2021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年版）》</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教育局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适龄儿童、少年因身体状况需要延缓入学或者休学审批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教育局</w:t>
            </w:r>
          </w:p>
        </w:tc>
        <w:tc>
          <w:tcPr>
            <w:tcW w:w="45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《中华人民共和国义务教育法》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市委统战部</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宗教活动场所筹备设立审批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民宗局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《宗教事务条例》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eastAsia" w:ascii="Times New Roman" w:hAnsi="Times New Roman" w:eastAsia="仿宋_GB2312" w:cs="Times New Roman"/>
                <w:b w:val="0"/>
                <w:bCs w:val="0"/>
                <w:i w:val="0"/>
                <w:iCs w:val="0"/>
                <w:color w:val="000000" w:themeColor="text1"/>
                <w:sz w:val="21"/>
                <w:szCs w:val="21"/>
                <w:u w:val="none"/>
                <w:lang w:val="en-US" w:eastAsia="zh-CN"/>
                <w14:textFill>
                  <w14:solidFill>
                    <w14:schemeClr w14:val="tx1"/>
                  </w14:solidFill>
                </w14:textFill>
              </w:rPr>
              <w:t>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市委统战部</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宗教活动场所设立、变更、注销登记</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民宗局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《宗教事务条例》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市委统战部</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宗教活动场所内改建或者新建建筑物许可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民宗局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《宗教事务条例》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《宗教事务部分行政许可项目实施办法》（国宗发〔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eastAsia" w:ascii="Times New Roman" w:hAnsi="Times New Roman" w:eastAsia="仿宋_GB2312" w:cs="Times New Roman"/>
                <w:b w:val="0"/>
                <w:bCs w:val="0"/>
                <w:i w:val="0"/>
                <w:iCs w:val="0"/>
                <w:color w:val="000000" w:themeColor="text1"/>
                <w:sz w:val="21"/>
                <w:szCs w:val="21"/>
                <w:u w:val="none"/>
                <w:lang w:val="en-US" w:eastAsia="zh-CN"/>
                <w14:textFill>
                  <w14:solidFill>
                    <w14:schemeClr w14:val="tx1"/>
                  </w14:solidFill>
                </w14:textFill>
              </w:rPr>
              <w:t>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市委统战部</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宗教临时活动地点审批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民宗局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《宗教事务条例》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市委统战部</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宗教团体、宗教院校、宗教活动场所接受境外捐赠审批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民宗局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《宗教事务条例》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《宗教事务部分行政许可项目实施办法》（国宗发〔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市委统战部</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华侨回国定居审批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统战部</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《中华人民共和国出境入境管理法》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《华侨回国定居办理工作规定》（国侨发〔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2013</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themeColor="text1"/>
                <w:sz w:val="21"/>
                <w:szCs w:val="21"/>
                <w:u w:val="none"/>
                <w:lang w:val="en-US" w:eastAsia="zh-CN"/>
                <w14:textFill>
                  <w14:solidFill>
                    <w14:schemeClr w14:val="tx1"/>
                  </w14:solidFill>
                </w14:textFill>
              </w:rPr>
            </w:pPr>
            <w:r>
              <w:rPr>
                <w:rFonts w:hint="eastAsia" w:ascii="Times New Roman" w:hAnsi="Times New Roman" w:eastAsia="仿宋_GB2312" w:cs="Times New Roman"/>
                <w:b w:val="0"/>
                <w:bCs w:val="0"/>
                <w:i w:val="0"/>
                <w:iCs w:val="0"/>
                <w:color w:val="000000" w:themeColor="text1"/>
                <w:sz w:val="21"/>
                <w:szCs w:val="21"/>
                <w:u w:val="none"/>
                <w:lang w:val="en-US" w:eastAsia="zh-CN"/>
                <w14:textFill>
                  <w14:solidFill>
                    <w14:schemeClr w14:val="tx1"/>
                  </w14:solidFill>
                </w14:textFill>
              </w:rPr>
              <w:t>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民用枪支及枪支主要零部件、弹药配置许可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《中华人民共和国枪支管理法》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举行集会游行示威许可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《中华人民共和国集会游行示威法》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《中华人民共和国集会游行示威法实施条例》</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大型群众性活动安全许可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《中华人民共和国消防法》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《大型群众性活动安全管理条例》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公章刻制业特种行业许可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《印铸刻字业暂行管理规则》</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《国务院对确需保留的行政审批项目设定行政许可的决定》</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《公安部关于深化娱乐服务场所和特种行业治安管理改革进一步依法加强事中事后监管的工作意见》（公治〔</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2017</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529</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旅馆业特种行业许可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《旅馆业治安管理办法》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《国务院对确需保留的行政审批项目设定行政许可的决定》</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《公安部关于深化娱乐服务场所和特种行业治安管理改革进一步依法加强事中事后监管的工作意见》（公治〔</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2017</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529</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举办焰火晚会及其他大型焰火燃放活动许可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《烟花爆竹安全管理条例》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《公安部办公厅关于贯彻执行〈大型焰火燃放作业人员资格条件及管理〉和〈大型焰火燃放作业单位资质条件及管理〉有关事项的通知》（公治〔</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2010</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592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烟花爆竹道路运输许可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《烟花爆竹安全管理条例》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《关于优化烟花爆竹道路运输许可审批进一步深化烟花爆竹</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放管服</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改革工作的通知》（公治安明发〔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2019</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218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民用爆炸物品购买许可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《民用爆炸物品安全管理条例》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民用爆炸物品运输许可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《民用爆炸物品安全管理条例》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剧毒化学品购买许可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《危险化学品安全管理条例》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9"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放射性物品道路运输许可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《中华人民共和国核安全法》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《放射性物品运输安全管理条例》</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易制毒化学品购买许可（除第一类中的药品类易制毒化学品外）</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《中华人民共和国禁毒法》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《易制毒化学品管理条例》</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易制毒化学品运输许可</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《中华人民共和国禁毒法》</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《易制毒化学品管理条例》</w:t>
            </w: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金融机构营业场所和金库安全防范设施建设方案审批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《国务院对确需保留的行政审批项目设定行政许可的决定》</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《金融机构营业场所和金库安全防范设施建设许可实施办法》（公安部令第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86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金融机构营业场所和金库安全防范设施建设工程验收</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《国务院对确需保留的行政审批项目设定行政许可的决定》</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《金融机构营业场所和金库安全防范设施建设许可实施办法》（公安部令第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86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机动车登记</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《中华人民共和国道路交通安全法》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机动车临时通行牌证核发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《中华人民共和国道路交通安全法》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机动车检验合格标志核发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《中华人民共和国道路交通安全法》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机动车驾驶证核发、审验</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《中华人民共和国道路交通安全法》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校车驾驶资格许可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《校车安全管理条例》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非机动车登记</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《中华人民共和国道路交通安全法》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6"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涉路施工交通安全审查</w:t>
            </w:r>
          </w:p>
        </w:tc>
        <w:tc>
          <w:tcPr>
            <w:tcW w:w="174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《中华人民共和国道路交通安全法》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《中华人民共和国公路法》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《城市道路管理条例》</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户口迁移审批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《中华人民共和国户口登记条例》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犬类准养证核发</w:t>
            </w:r>
          </w:p>
        </w:tc>
        <w:tc>
          <w:tcPr>
            <w:tcW w:w="174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《中华人民共和国动物防疫法》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《中华人民共和国传染病防治法实施办法》</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普通护照签发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《中华人民共和国护照法》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边境管理区通行证核发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《国务院对确需保留的行政审批项目设定行政许可的决定》</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内地居民前往港澳通行证、往来港澳通行证及签注签发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《中国公民因私事往来香港地区或者澳门地区的暂行管理办法》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公安局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大陆居民往来台湾通行证及签注签发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公安局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《中国公民往来台湾地区管理办法》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民政局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社会团体成立、变更、注销登记及修改章程核准</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民政局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《社会团体登记管理条例》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民政局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民办非企业单位成立、变更、注销登记及修改章程核准</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民政局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《民办非企业单位登记管理暂行条例》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民政局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宗教活动场所法人成立、变更、注销登记</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民政局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《宗教事务条例》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民政局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慈善组织公开募捐资格审批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民政局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《中华人民共和国慈善法》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民政局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殡葬设施建设审批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民政局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《殡葬管理条例》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民政局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地名命名、更名审批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民政局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《地名管理条例》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财政局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中介机构从事代理记账业务审批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财政局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《中华人民共和国会计法》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themeColor="text1"/>
                <w:sz w:val="21"/>
                <w:szCs w:val="21"/>
                <w:u w:val="none"/>
                <w:lang w:val="en-US" w:eastAsia="zh-CN"/>
                <w14:textFill>
                  <w14:solidFill>
                    <w14:schemeClr w14:val="tx1"/>
                  </w14:solidFill>
                </w14:textFill>
              </w:rPr>
            </w:pPr>
            <w:r>
              <w:rPr>
                <w:rFonts w:hint="eastAsia" w:ascii="Times New Roman" w:hAnsi="Times New Roman" w:eastAsia="仿宋_GB2312" w:cs="Times New Roman"/>
                <w:b w:val="0"/>
                <w:bCs w:val="0"/>
                <w:i w:val="0"/>
                <w:iCs w:val="0"/>
                <w:color w:val="000000" w:themeColor="text1"/>
                <w:sz w:val="21"/>
                <w:szCs w:val="21"/>
                <w:u w:val="none"/>
                <w:lang w:val="en-US" w:eastAsia="zh-CN"/>
                <w14:textFill>
                  <w14:solidFill>
                    <w14:schemeClr w14:val="tx1"/>
                  </w14:solidFill>
                </w14:textFill>
              </w:rPr>
              <w:t>省级财政厅委托县级财政部门实施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人力资源和社会保障局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职业培训学校筹设审批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人力资源和社会保障局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《中华人民共和国民办教育促进法》</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《中华人民共和国中外合作办学条例》</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省人力资源社会保障厅负责中外合作职业培训学校筹设审批；设区的市级、县级人力资源社会保障部门负责职业培训学校筹设审批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人力资源和社会保障局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职业培训学校办学许可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人力资源和社会保障局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《中华人民共和国民办教育促进法》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《中华人民共和国中外合作办学条例》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省人力资源社会保障厅负责中外合作职业培训学校办学许可；设区的市级、县级人力资源社会保障部门负责职业培训学校办学许可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人力资源和社会保障局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人力资源服务许可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人力资源和社会保障局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《中华人民共和国就业促进法》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《人力资源市场暂行条例》</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3"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人力资源和社会保障局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企业实行不定时工作制和综合计算工时工作制审批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人力资源和社会保障局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《中华人民共和国劳动法》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《关于企业实行不定时工作制和综合计算工时工作制的审批办法》（劳部发〔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1994</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503</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自然资源局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法人或者其他组织需要利用属于国家秘密的基础测绘成果审批</w:t>
            </w:r>
          </w:p>
        </w:tc>
        <w:tc>
          <w:tcPr>
            <w:tcW w:w="174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自然资源局</w:t>
            </w:r>
          </w:p>
        </w:tc>
        <w:tc>
          <w:tcPr>
            <w:tcW w:w="457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《中华人民共和国测绘成果管理条例》</w:t>
            </w:r>
          </w:p>
        </w:tc>
        <w:tc>
          <w:tcPr>
            <w:tcW w:w="2688" w:type="dxa"/>
            <w:vMerge w:val="restart"/>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《基础测绘成果提供使用管理暂行办法》（国测法字〔</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2006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13</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vMerge w:val="continue"/>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9"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自然资源局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建设项目用地预审与选址意见书核发</w:t>
            </w:r>
          </w:p>
        </w:tc>
        <w:tc>
          <w:tcPr>
            <w:tcW w:w="174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自然资源局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《中华人民共和国城乡规划法》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《中华人民共和国土地管理法》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《中华人民共和国土地管理法实施条例》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《建设项目用地预审管理办法》（国土资源部令第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68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i w:val="0"/>
                <w:iCs w:val="0"/>
                <w:color w:val="000000" w:themeColor="text1"/>
                <w:sz w:val="21"/>
                <w:szCs w:val="21"/>
                <w:lang w:val="en-US" w:eastAsia="zh-CN" w:bidi="ar"/>
                <w14:textFill>
                  <w14:solidFill>
                    <w14:schemeClr w14:val="tx1"/>
                  </w14:solidFill>
                </w14:textFill>
              </w:rPr>
              <w:t>《衡阳市市、区两级财权、事权体制改革实施方案》（衡办发〔2022〕2 号）</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自然资源局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国有建设用地使用权出让后土地使用权分割转让批准</w:t>
            </w:r>
          </w:p>
        </w:tc>
        <w:tc>
          <w:tcPr>
            <w:tcW w:w="1747"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自然资源局</w:t>
            </w:r>
          </w:p>
        </w:tc>
        <w:tc>
          <w:tcPr>
            <w:tcW w:w="45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i w:val="0"/>
                <w:i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i w:val="0"/>
                <w:iCs w:val="0"/>
                <w:color w:val="000000" w:themeColor="text1"/>
                <w:sz w:val="21"/>
                <w:szCs w:val="21"/>
                <w:lang w:val="en-US" w:eastAsia="zh-CN" w:bidi="ar"/>
                <w14:textFill>
                  <w14:solidFill>
                    <w14:schemeClr w14:val="tx1"/>
                  </w14:solidFill>
                </w14:textFill>
              </w:rPr>
              <w:t>《中华人民共和国城镇国有土地使用权出让和转让暂行条例》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i w:val="0"/>
                <w:iCs w:val="0"/>
                <w:color w:val="000000" w:themeColor="text1"/>
                <w:sz w:val="21"/>
                <w:szCs w:val="21"/>
                <w:lang w:val="en-US" w:eastAsia="zh-CN" w:bidi="ar"/>
                <w14:textFill>
                  <w14:solidFill>
                    <w14:schemeClr w14:val="tx1"/>
                  </w14:solidFill>
                </w14:textFill>
              </w:rPr>
              <w:t>《衡阳市市、区两级财权、事权体制改革实施方案》（衡办发〔2022〕2 号）</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自然资源局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乡（镇）村企业使用集体建设用地审批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自然资源局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《中华人民共和国土地管理法》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《湖南省实施〈中华人民共和国土地管理法〉办法》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有（项目必须符合土地利用总体规划或国土空间规划，涉及使用耕地的由省人民政府审批，使用其他农用地及未利用地的，由原批准该区域土地利用总体规划审批机构审批；使用核实后为建设用地的，在本级政府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8"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自然资源局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乡（镇）村公共设施、公益事业使用集体建设用地审批</w:t>
            </w:r>
          </w:p>
        </w:tc>
        <w:tc>
          <w:tcPr>
            <w:tcW w:w="174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自然资源局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《中华人民共和国土地管理法》</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《湖南省实施〈中华人民共和国土地管理法〉办法》</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有（项目必须符合土地利用总体规划或国土空间规划，涉及使用耕地的由省人民政府审批，使用其他农用地及未利用地的，由原批准该区域土地利用总体规划审批机构审批；使用核实后为建设用地的，在本级政府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1"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自然资源局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临时用地审批</w:t>
            </w:r>
          </w:p>
        </w:tc>
        <w:tc>
          <w:tcPr>
            <w:tcW w:w="174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自然资源局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《中华人民共和国土地管理法》</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《衡阳市市、区两级财权、事权体制改革实施方案》（衡办发〔2022〕2 号）</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自然资源局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建设用地、临时建设用地规划许可</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自然资源局</w:t>
            </w:r>
          </w:p>
        </w:tc>
        <w:tc>
          <w:tcPr>
            <w:tcW w:w="45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《中华人民共和国城乡规划法》</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《衡阳市市、区两级财权、事权体制改革实施方案》（衡办发〔2022〕2 号）</w:t>
            </w:r>
          </w:p>
        </w:tc>
        <w:tc>
          <w:tcPr>
            <w:tcW w:w="2688" w:type="dxa"/>
            <w:tcBorders>
              <w:top w:val="single" w:color="000000" w:sz="4" w:space="0"/>
              <w:left w:val="nil"/>
              <w:bottom w:val="nil"/>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自然资源局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建设工程、临时建设工程规划许可</w:t>
            </w:r>
          </w:p>
        </w:tc>
        <w:tc>
          <w:tcPr>
            <w:tcW w:w="174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自然资源局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《中华人民共和国城乡规划法》</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《湖南省实施〈中华人民共和国城乡规划法〉办法》</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《衡阳市市、区两级财权、事权体制改革实施方案》（衡办发〔2022〕2 号）</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自然资源局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乡村建设规划许可</w:t>
            </w:r>
          </w:p>
        </w:tc>
        <w:tc>
          <w:tcPr>
            <w:tcW w:w="174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自然资源局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《中华人民共和国城乡规划法》</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《湖南省实施〈中华人民共和国城乡规划法〉办法》</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30"/>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《衡阳市市、区两级财权、事权体制改革实施方案》（衡办发〔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2022</w:t>
            </w:r>
            <w:r>
              <w:rPr>
                <w:rStyle w:val="30"/>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 xml:space="preserve">2 </w:t>
            </w:r>
            <w:r>
              <w:rPr>
                <w:rStyle w:val="30"/>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根据常宁市基层公共服务（一门式）全覆盖工作领导小组意见已下放到乡镇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6"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衡阳市生态环境局常宁分局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一般建设项目环境影响评价审批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衡阳市生态环境局常宁分局</w:t>
            </w:r>
          </w:p>
        </w:tc>
        <w:tc>
          <w:tcPr>
            <w:tcW w:w="45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《中华人民共和国环境保护法》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《中华人民共和国环境影响评价法》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《中华人民共和国水污染防治法》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《中华人民共和国大气污染防治法》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《中华人民共和国土壤污染防治法》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《中华人民共和国固体废物污染环境防治法》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《中华人民共和国环境噪声污染防治法》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《建设项目环境保护管理条例》</w:t>
            </w:r>
          </w:p>
        </w:tc>
        <w:tc>
          <w:tcPr>
            <w:tcW w:w="2688" w:type="dxa"/>
            <w:tcBorders>
              <w:top w:val="nil"/>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衡阳市生态环境局常宁分局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核与辐射类建设项目环境影响评价审批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衡阳市生态环境局常宁分局</w:t>
            </w:r>
          </w:p>
        </w:tc>
        <w:tc>
          <w:tcPr>
            <w:tcW w:w="45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《中华人民共和国环境保护法》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《中华人民共和国环境影响评价法》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《中华人民共和国放射性污染防治法》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《中华人民共和国核安全法》</w:t>
            </w:r>
          </w:p>
        </w:tc>
        <w:tc>
          <w:tcPr>
            <w:tcW w:w="2688" w:type="dxa"/>
            <w:tcBorders>
              <w:top w:val="nil"/>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lang w:val="en-US" w:eastAsia="zh-CN"/>
                <w14:textFill>
                  <w14:solidFill>
                    <w14:schemeClr w14:val="tx1"/>
                  </w14:solidFill>
                </w14:textFill>
              </w:rPr>
            </w:pPr>
            <w:r>
              <w:rPr>
                <w:rFonts w:hint="eastAsia"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t>常宁分局预审，衡阳市局审批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衡阳市生态环境局常宁分局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江河、湖泊新建、改建或者扩大排污口审批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衡阳市生态环境局常宁分局</w:t>
            </w:r>
          </w:p>
        </w:tc>
        <w:tc>
          <w:tcPr>
            <w:tcW w:w="45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《中华人民共和国水法》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《中华人民共和国水污染防治法》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《中华人民共和国长江保护法》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《中央编办关于生态环境部流域生态环境监管机构设置有关事项的通知》（中编办发〔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2019</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eastAsia"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t>常宁分局预审，衡阳市局审批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衡阳市生态环境局常宁分局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防治污染设施拆除或闲置审批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衡阳市生态环境局常宁分局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《中华人民共和国环境保护法》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《中华人民共和国海洋环境保护法》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《防治海洋工程建设项目污染损害海洋环境管理条例》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《中华人民共和国环境噪声污染防治法》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衡阳市生态环境局常宁分局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危险废物经营许可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衡阳市生态环境局常宁分局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《中华人民共和国固体废物污染环境防治法》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《危险废物经营许可证管理办法》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pPr>
            <w:r>
              <w:rPr>
                <w:rFonts w:hint="eastAsia"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t>常宁分局预审，衡阳市局审批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衡阳市生态环境局常宁分局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放射性核素排放许可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衡阳市生态环境局常宁分局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《中华人民共和国放射性污染防治法》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pPr>
            <w:r>
              <w:rPr>
                <w:rFonts w:hint="eastAsia"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t>常宁分局预审，衡阳市局审批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衡阳市生态环境局常宁分局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排污许可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衡阳市生态环境局常宁分局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《中华人民共和国环境保护法》</w:t>
            </w:r>
          </w:p>
          <w:p>
            <w:pPr>
              <w:keepNext w:val="0"/>
              <w:keepLines w:val="0"/>
              <w:widowControl/>
              <w:suppressLineNumbers w:val="0"/>
              <w:jc w:val="left"/>
              <w:textAlignment w:val="center"/>
              <w:rPr>
                <w:rFonts w:hint="eastAsia"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《中华人民共和国水污染防治法》</w:t>
            </w:r>
          </w:p>
          <w:p>
            <w:pPr>
              <w:keepNext w:val="0"/>
              <w:keepLines w:val="0"/>
              <w:widowControl/>
              <w:suppressLineNumbers w:val="0"/>
              <w:jc w:val="left"/>
              <w:textAlignment w:val="center"/>
              <w:rPr>
                <w:rFonts w:hint="eastAsia"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《中华人民共和国大气污染防治法》</w:t>
            </w:r>
          </w:p>
          <w:p>
            <w:pPr>
              <w:keepNext w:val="0"/>
              <w:keepLines w:val="0"/>
              <w:widowControl/>
              <w:suppressLineNumbers w:val="0"/>
              <w:jc w:val="left"/>
              <w:textAlignment w:val="center"/>
              <w:rPr>
                <w:rFonts w:hint="eastAsia"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《中华人民共和国固体废物污染环境防治法》</w:t>
            </w:r>
          </w:p>
          <w:p>
            <w:pPr>
              <w:keepNext w:val="0"/>
              <w:keepLines w:val="0"/>
              <w:widowControl/>
              <w:suppressLineNumbers w:val="0"/>
              <w:jc w:val="left"/>
              <w:textAlignment w:val="center"/>
              <w:rPr>
                <w:rFonts w:hint="eastAsia"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《中华人民共和国土壤污染防治法》</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《排污许可管理条例》</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重点管理审批在市局，简化管理在常宁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9"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建筑工程施工许可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t>住房和城乡建设局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《中华人民共和国建筑法》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《建筑工程施工许可管理办法》（住房城乡建设部令第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号公布，住房城乡建设部令第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52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商品房预售许可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t>住房和城乡建设局</w:t>
            </w:r>
          </w:p>
        </w:tc>
        <w:tc>
          <w:tcPr>
            <w:tcW w:w="45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《中华人民共和国城市房地产管理法》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历史建筑实施原址保护审批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《历史文化名城名镇名村保护条例》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历史文化街区、名镇、名村核心保护范围内拆除历史建筑以外的建筑物、构筑物或者其他设施审批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《历史文化名城名镇名村保护条例》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历史建筑外部修缮装饰、添加设施以及改变历史建筑的结构或者使用性质审批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住房和城乡建设局、文化旅游广电体育局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《历史文化名城名镇名村保护条例》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建设工程消防设计审查</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t>住房和城乡建设局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《中华人民共和国消防法》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《建设工程消防设计审查验收管理暂行规定》（住房城乡建设部令第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51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建设工程消防验收</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t>住房和城乡建设局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《中华人民共和国消防法》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《建设工程消防设计审查验收管理暂行规定》（住房城乡建设部令第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51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在村庄、集镇规划区内公共场所修建临时建筑等设施审批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乡镇级人民政府</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《村庄和集镇规划建设管理条例》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建筑起重机械使用登记</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t>住房和城乡建设局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《中华人民共和国特种设备安全法》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《建设工程安全生产管理条例》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城镇污水排入排水管网许可</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t>住房和城乡建设局</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《城镇排水与污水处理条例》</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《衡阳市市、区两级财权、事权体制改革实施方案》（衡办发〔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2022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 xml:space="preserve">2 </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拆除、改动、迁移城市公共供水设施审核</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t>住房和城乡建设局</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《城市供水条例》</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拆除、改动城镇排水与污水处理设施审核</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t>住房和城乡建设局</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《城镇排水与污水处理条例》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由于工程施工、设备维修等原因确需停止供水的审批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t>住房和城乡建设局</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《城市供水条例》</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燃气经营许可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t>住房和城乡建设局</w:t>
            </w:r>
          </w:p>
        </w:tc>
        <w:tc>
          <w:tcPr>
            <w:tcW w:w="457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《城镇燃气管理条例》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燃气经营者改动市政燃气设施审批</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t>住房和城乡建设局</w:t>
            </w:r>
          </w:p>
        </w:tc>
        <w:tc>
          <w:tcPr>
            <w:tcW w:w="457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《城镇燃气管理条例》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《国务院关于第六批取消和调整行政审批项目的决定》（国发〔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52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市政设施建设类审批</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t>住房和城乡建设局</w:t>
            </w:r>
          </w:p>
        </w:tc>
        <w:tc>
          <w:tcPr>
            <w:tcW w:w="457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《城市道路管理条例》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《衡阳市市、区两级财权、事权体制改革实施方案》（衡办发〔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2022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 xml:space="preserve">2 </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应建防空地下室的民用建筑项目报建审批</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人防办</w:t>
            </w:r>
          </w:p>
        </w:tc>
        <w:tc>
          <w:tcPr>
            <w:tcW w:w="45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《中共中央</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 xml:space="preserve"> </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 xml:space="preserve"> </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中央军委关于加强人民防空工作的决定》</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拆除人民防空工程审批</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人防办</w:t>
            </w:r>
          </w:p>
        </w:tc>
        <w:tc>
          <w:tcPr>
            <w:tcW w:w="45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《中华人民共和国人民防空法》</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公路建设项目设计文件审批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《中华人民共和国公路法》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《建设工程质量管理条例》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《建设工程勘察设计管理条例》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《农村公路建设管理办法》（交通运输部令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4</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公路建设项目施工许可</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《中华人民共和国公路法》</w:t>
            </w:r>
          </w:p>
        </w:tc>
        <w:tc>
          <w:tcPr>
            <w:tcW w:w="2688" w:type="dxa"/>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《公路建设市场管理办法》（交通部令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2004</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14</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号公布，交通运输部令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2015</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公路建设项目竣工验收</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《中华人民共和国公路法》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《收费公路管理条例》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《公路工程竣（交）工验收办法》（交通部令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2004</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3</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《农村公路建设管理办法》（交通运输部令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4</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公路超限运输许可</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《中华人民共和国公路法》</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《公路安全保护条例》</w:t>
            </w: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涉路施工许可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《中华人民共和国公路法》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《公路安全保护条例》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《路政管理规定》（交通部令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2003</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号公布，交通运输部令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81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更新采伐护路林审批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《中华人民共和国公路法》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《公路安全保护条例》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《路政管理规定》（交通部令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2003</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号公布，交通运输部令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81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道路旅客运输经营许可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《中华人民共和国道路运输条例》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道路旅客运输站经营许可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《中华人民共和国道路运输条例》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道路货物运输经营许可（除使用</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4500</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千克及以下普通货运车辆从事普通货运经营外）</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《中华人民共和国道路运输条例》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《道路货物运输及站场管理规定》（交通部令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2005</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号公布，交通运输部令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2019</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17</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出租汽车经营许可</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《国务院对确需保留的行政审批项目设定行政许可的决定》</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《巡游出租汽车经营服务管理规定》（交通运输部令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2014</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号公布，交通运输部令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2021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《网络预约出租汽车经营服务管理暂行办法》（交通运输部、工业和信息化部、公安部、商务部、工商总局、质检总局、国家网信办令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60</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号公布，交通运输部、工业和信息化部、公安部、商务部、市场监管总局、国家网信办令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2019</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46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出租汽车车辆运营证核发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《巡游出租汽车经营服务管理规定》（交通运输部令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2014</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号公布，交通运输部令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2021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《网络预约出租汽车经营服务管理暂行办法》（交通运输部、工业和信息化部、公安部、商务部、工商总局、质检总局、国家网信办令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60</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号公布，交通运输部、工业和信息化部、公安部、商务部、市场监管总局、国家网信办令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2019</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46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水运建设项目设计文件审批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《中华人民共和国港口法》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《中华人民共和国航道法》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《中华人民共和国航道管理条例》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《建设工程质量管理条例》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《建设工程勘察设计管理条例》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6"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水运工程建设项目竣工验收</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《中华人民共和国港口法》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《中华人民共和国航道法》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《中华人民共和国航道管理条例》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《港口工程建设管理规定》（交通运输部令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号公布，交通运输部令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2019</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32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《航道工程建设管理规定》（交通运输部令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2019</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44</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船舶国籍登记</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《中华人民共和国海上交通安全法》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《中华人民共和国船舶登记条例》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《交通运输部办公厅关于全面推行直属海事系统权责清单制度的通知》（交办海〔</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19</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船员适任证书核发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《中华人民共和国海上交通安全法》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《中华人民共和国船员条例》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《交通运输部办公厅关于全面推行直属海事系统权责清单制度的通知》（交办海〔</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19</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《国家职业资格目录（</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2021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年版）》</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本级核发三类及以下船员证书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占用国防交通控制范围土地审批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《中华人民共和国国防交通法》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《国防交通条例》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国防交通工程设施建设项目和有关贯彻国防要求建设项目设计审定</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《中华人民共和国国防交通法》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《国防交通条例》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交通运输局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国防交通工程设施建设项目和有关贯彻国防要求建设项目竣工验收</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交通运输局</w:t>
            </w:r>
          </w:p>
        </w:tc>
        <w:tc>
          <w:tcPr>
            <w:tcW w:w="457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《中华人民共和国国防交通法》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《国防交通条例》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水利局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水利基建项目初步设计文件审批</w:t>
            </w:r>
          </w:p>
        </w:tc>
        <w:tc>
          <w:tcPr>
            <w:tcW w:w="174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水利局</w:t>
            </w:r>
          </w:p>
        </w:tc>
        <w:tc>
          <w:tcPr>
            <w:tcW w:w="45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《国务院对确需保留的行政审批项目设定行政许可的决定》</w:t>
            </w:r>
          </w:p>
        </w:tc>
        <w:tc>
          <w:tcPr>
            <w:tcW w:w="2688"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lang w:val="en-US" w:eastAsia="zh-CN"/>
                <w14:textFill>
                  <w14:solidFill>
                    <w14:schemeClr w14:val="tx1"/>
                  </w14:solidFill>
                </w14:textFill>
              </w:rPr>
            </w:pPr>
            <w:r>
              <w:rPr>
                <w:rFonts w:hint="eastAsia" w:ascii="Times New Roman" w:hAnsi="Times New Roman" w:eastAsia="仿宋_GB2312" w:cs="Times New Roman"/>
                <w:b w:val="0"/>
                <w:bCs w:val="0"/>
                <w:i w:val="0"/>
                <w:iCs w:val="0"/>
                <w:color w:val="000000" w:themeColor="text1"/>
                <w:w w:val="88"/>
                <w:kern w:val="0"/>
                <w:sz w:val="21"/>
                <w:szCs w:val="21"/>
                <w:u w:val="none"/>
                <w:lang w:val="en-US" w:eastAsia="zh-CN" w:bidi="ar"/>
                <w14:textFill>
                  <w14:solidFill>
                    <w14:schemeClr w14:val="tx1"/>
                  </w14:solidFill>
                </w14:textFill>
              </w:rPr>
              <w:t>市水利局、县级水利部门审批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水利局</w:t>
            </w:r>
          </w:p>
        </w:tc>
        <w:tc>
          <w:tcPr>
            <w:tcW w:w="474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取水许可</w:t>
            </w: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水利局</w:t>
            </w: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《中华人民共和国水法》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《取水许可和水资源费征收管理条例》</w:t>
            </w:r>
          </w:p>
        </w:tc>
        <w:tc>
          <w:tcPr>
            <w:tcW w:w="26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8"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水利局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洪水影响评价类审批</w:t>
            </w:r>
          </w:p>
        </w:tc>
        <w:tc>
          <w:tcPr>
            <w:tcW w:w="174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水利局</w:t>
            </w:r>
          </w:p>
        </w:tc>
        <w:tc>
          <w:tcPr>
            <w:tcW w:w="4575"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《中华人民共和国水法》</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《中华人民共和国防洪法》</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《中华人民共和国河道管理条例》</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《中华人民共和国水文条例》</w:t>
            </w:r>
          </w:p>
        </w:tc>
        <w:tc>
          <w:tcPr>
            <w:tcW w:w="2688" w:type="dxa"/>
            <w:tcBorders>
              <w:top w:val="single" w:color="auto"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1"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水利局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河道管理范围内特定活动审批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水利局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《中华人民共和国河道管理条例》</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《湖南省人民政府关于调整一批行政权力事项的通知》（湘政发〔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2020</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15</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水利局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河道采砂许可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水利局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《中华人民共和国水法》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《中华人民共和国长江保护法》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《中华人民共和国河道管理条例》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《长江河道采砂管理条例》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水利局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生产建设项目水土保持方案审批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水利局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《中华人民共和国水土保持法》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水利局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农村集体经济组织修建水库审批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水利局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《中华人民共和国水法》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水利局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城市建设填堵水域、废除围堤审批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水利局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《中华人民共和国防洪法》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水利局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占用农业灌溉水源、灌排工程设施审批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水利局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《国务院对确需保留的行政审批项目设定行政许可的决定》</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水利局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利用堤顶、戗台兼做公路审批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水利局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《中华人民共和国河道管理条例》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水利局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坝顶兼做公路审批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水利局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《水库大坝安全管理条例》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水利局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蓄滞洪区避洪设施建设审批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水利局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《国务院对确需保留的行政审批项目设定行政许可的决定》</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水利局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大坝管理和保护范围内修建码头、渔塘许可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水利局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《水库大坝安全管理条例》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农药经营许可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《农药管理条例》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兽药经营许可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《兽药管理条例》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6"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农作物种子生产经营许可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《中华人民共和国种子法》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《农业转基因生物安全管理条例》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《转基因棉花种子生产经营许可规定》（农业部公告第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2436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号公布，农业农村部令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2019</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8"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食用菌菌种生产经营许可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《中华人民共和国种子法》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《食用菌菌种管理办法》（农业部令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2006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62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号公布，农业部令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2015</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使用低于国家或地方规定的种用标准的农作物种子审批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《中华人民共和国种子法》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种畜禽生产经营许可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《中华人民共和国畜牧法》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《农业转基因生物安全管理条例》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《养蜂管理办法（试行）》（农业部公告第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1692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《中华人民共和国畜牧法》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《蚕种管理办法》（农业部令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2006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68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蚕种生产经营许可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农业植物检疫证书核发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《植物检疫条例》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农业植物产地检疫合格证签发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《植物检疫条例》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农业野生植物采集、出售、收购、野外考察审批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《中华人民共和国野生植物保护条例》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18"/>
                <w:szCs w:val="18"/>
                <w:u w:val="none"/>
                <w:lang w:val="en-US" w:eastAsia="zh-CN"/>
                <w14:textFill>
                  <w14:solidFill>
                    <w14:schemeClr w14:val="tx1"/>
                  </w14:solidFill>
                </w14:textFill>
              </w:rPr>
            </w:pPr>
            <w:r>
              <w:rPr>
                <w:rFonts w:hint="eastAsia" w:ascii="Times New Roman" w:hAnsi="Times New Roman" w:eastAsia="仿宋_GB2312" w:cs="Times New Roman"/>
                <w:b w:val="0"/>
                <w:bCs w:val="0"/>
                <w:i w:val="0"/>
                <w:iCs w:val="0"/>
                <w:color w:val="000000" w:themeColor="text1"/>
                <w:sz w:val="18"/>
                <w:szCs w:val="18"/>
                <w:u w:val="none"/>
                <w:lang w:val="en-US" w:eastAsia="zh-CN"/>
                <w14:textFill>
                  <w14:solidFill>
                    <w14:schemeClr w14:val="tx1"/>
                  </w14:solidFill>
                </w14:textFill>
              </w:rPr>
              <w:t>采集国家二级保护野生植物的，由县级农业农村部门受理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3"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动物及动物产品检疫合格证核发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《中华人民共和国动物防疫法》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《动物检疫管理办法》（农业部令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2010</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号公布，农业农村部令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2019</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动物防疫条件合格证核发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《中华人民共和国动物防疫法》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动物诊疗许可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《中华人民共和国动物防疫法》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《动物诊疗机构管理办法》（农业部令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2008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19</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号公布，农业部令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2017</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生鲜乳收购站许可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《乳品质量安全监督管理条例》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生鲜乳准运证明核发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《乳品质量安全监督管理条例》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拖拉机和联合收割机驾驶证核发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《中华人民共和国道路交通安全法》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《农业机械安全监督管理条例》</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拖拉机和联合收割机登记</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《中华人民共和国道路交通安全法》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《农业机械安全监督管理条例》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工商企业等社会资本通过流转取得土地经营权审批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《中华人民共和国农村土地承包法》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《农村土地经营权流转管理办法》（农业农村部令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2021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农村村民宅基地审批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lang w:val="en-US"/>
                <w14:textFill>
                  <w14:solidFill>
                    <w14:schemeClr w14:val="tx1"/>
                  </w14:solidFill>
                </w14:textFill>
              </w:rPr>
            </w:pPr>
            <w:r>
              <w:rPr>
                <w:rStyle w:val="29"/>
                <w:rFonts w:hint="eastAsia"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乡镇政府</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《中华人民共和国土地管理法》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渔业船舶船员证书核发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《中华人民共和国渔港水域交通安全管理条例》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《中华人民共和国渔业船员管理办法》（农业部令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2014</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4</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号公布，农业部令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2017</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《国家职业资格目录（</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2021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年版）》</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水产苗种生产经营审批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《中华人民共和国渔业法》</w:t>
            </w:r>
          </w:p>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《水产苗种管理办法》（农业部令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2005</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46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《农业转基因生物安全管理条例》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水域滩涂养殖证核发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《中华人民共和国渔业法》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1"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渔业船网工具指标审批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《中华人民共和国渔业法》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《渔业捕捞许可管理规定》（农业农村部令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9"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渔业捕捞许可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《中华人民共和国渔业法》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《中华人民共和国渔业法实施细则》</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《渔业捕捞许可管理规定》（农业农村部令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1"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专用航标的设置、撤除、位置移动和其他状况改变审批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《中华人民共和国航标条例》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《渔业航标管理办法》（农业部令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2008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13</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渔港内新建、改建、扩建设施或者其他水上、水下施工审批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《中华人民共和国渔港水域交通安全管理条例》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农业农村局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渔港内易燃、易爆、有毒等危险品装卸审批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农业农村局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《中华人民共和国渔港水域交通安全管理条例》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文艺表演团体设立审批</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《营业性演出管理条例》</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营业性演出审批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《营业性演出管理条例》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《营业性演出管理条例实施细则》（文化部令第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47</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号公布，文化部令第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57</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娱乐场所经营活动审批</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《娱乐场所管理条例》</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互联网上网服务营业场所筹建审批</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《互联网上网服务营业场所管理条例》</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互联网上网服务经营活动审批</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《互联网上网服务营业场所管理条例》</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举办健身气功活动及设立站点审批</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《国务院对确需保留的行政审批项目设定行政许可的决定》</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《健身气功管理办法》（体育总局令</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2006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9</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《国务院关于第五批取消和下放管理层级行政审批项目的决定》（国发〔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2010</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8"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高危险性体育项目经营许可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《全民健身条例》</w:t>
            </w:r>
          </w:p>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《国务院关于取消和下放一批行政审批项目等事项的决定》（国发〔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2013</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19</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临时占用公共体育设施审批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《中华人民共和国体育法》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建设工程文物保护许可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《中华人民共和国文物保护法》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lang w:val="en-US" w:eastAsia="zh-CN"/>
                <w14:textFill>
                  <w14:solidFill>
                    <w14:schemeClr w14:val="tx1"/>
                  </w14:solidFill>
                </w14:textFill>
              </w:rPr>
            </w:pPr>
            <w:r>
              <w:rPr>
                <w:rFonts w:hint="eastAsia" w:ascii="Times New Roman" w:hAnsi="Times New Roman" w:eastAsia="仿宋_GB2312" w:cs="Times New Roman"/>
                <w:b w:val="0"/>
                <w:bCs w:val="0"/>
                <w:i w:val="0"/>
                <w:iCs w:val="0"/>
                <w:color w:val="000000" w:themeColor="text1"/>
                <w:sz w:val="21"/>
                <w:szCs w:val="21"/>
                <w:u w:val="none"/>
                <w:lang w:val="en-US" w:eastAsia="zh-CN"/>
                <w14:textFill>
                  <w14:solidFill>
                    <w14:schemeClr w14:val="tx1"/>
                  </w14:solidFill>
                </w14:textFill>
              </w:rPr>
              <w:t>县级文物部门承办，征得上一级文物部门同意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文物保护单位原址保护措施审批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《中华人民共和国文物保护法》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核定为文物保护单位的属于国家所有的纪念建筑物或者古建筑改变用途审批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《中华人民共和国文物保护法》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eastAsia" w:ascii="Times New Roman" w:hAnsi="Times New Roman" w:eastAsia="仿宋_GB2312" w:cs="Times New Roman"/>
                <w:b w:val="0"/>
                <w:bCs w:val="0"/>
                <w:i w:val="0"/>
                <w:iCs w:val="0"/>
                <w:color w:val="000000" w:themeColor="text1"/>
                <w:sz w:val="21"/>
                <w:szCs w:val="21"/>
                <w:u w:val="none"/>
                <w:lang w:val="en-US" w:eastAsia="zh-CN"/>
                <w14:textFill>
                  <w14:solidFill>
                    <w14:schemeClr w14:val="tx1"/>
                  </w14:solidFill>
                </w14:textFill>
              </w:rPr>
              <w:t>县级文物部门承办，征得市级文物部门同意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不可移动文物修缮审批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《中华人民共和国文物保护法》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非国有文物收藏单位和其他单位借用国有馆藏文物审批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《中华人民共和国文物保护法》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博物馆处理不够入藏标准、无保存价值的文物或标本审批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《国务院对确需保留的行政审批项目设定行政许可的决定》</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广播电视专用频段频率使用许可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《广播电视管理条例》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广播电台、电视台设立、终止审批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《广播电视管理条例》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广播电台、电视台变更台名、台标、节目设置范围或节目套数审批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《广播电视管理条例》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8"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乡镇设立广播电视站和机关、部队、团体、企业事业单位设立有线广播电视站审批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《广播电视管理条例》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《广播电视站审批管理暂行规定》（广播电影电视总局令第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32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有线广播电视传输覆盖网工程验收审核</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《广播电视管理条例》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卫星电视广播地面接收设施安装服务许可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《卫星电视广播地面接收设施管理规定》</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《卫星电视广播地面接收设施安装服务暂行办法》（广播电影电视总局令第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60</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号公布，广播电视总局令第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10</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《广电总局关于设立卫星地面接收设施安装服务机构审批事项的通知》（广发〔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2010</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24</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设置卫星电视广播地面接收设施审批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文化旅游广电体育局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《广播电视管理条例》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《卫星电视广播地面接收设施管理规定》</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卫生健康局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饮用水供水单位卫生许可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卫生健康局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《中华人民共和国传染病防治法》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卫生健康局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公共场所卫生许可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卫生健康局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《公共场所卫生管理条例》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卫生健康局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医疗机构建设项目放射性职业病危害预评价报告审核</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卫生健康局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《中华人民共和国职业病防治法》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《放射诊疗管理规定》（卫生部令第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46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号公布，国家卫生计生委令第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卫生健康局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w w:val="90"/>
                <w:sz w:val="21"/>
                <w:szCs w:val="21"/>
                <w:lang w:val="en-US" w:eastAsia="zh-CN" w:bidi="ar"/>
                <w14:textFill>
                  <w14:solidFill>
                    <w14:schemeClr w14:val="tx1"/>
                  </w14:solidFill>
                </w14:textFill>
              </w:rPr>
              <w:t>医疗机构建设项目放射性职业病防护设施竣工验收</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卫生健康局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《中华人民共和国职业病防治法》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《放射诊疗管理规定》（卫生部令第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46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号公布，国家卫生计生委令第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卫生健康局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医疗机构设置审批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卫生健康局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《医疗机构管理条例》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卫生健康局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医疗机构执业登记</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卫生健康局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《医疗机构管理条例》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卫生健康局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母婴保健技术服务机构执业许可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卫生健康局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《中华人民共和国母婴保健法》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《中华人民共和国母婴保健法实施办法》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《母婴保健专项技术服务许可及人员资格管理办法》（卫妇发〔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1995</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7</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号公布，国家卫生健康委令第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7</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卫生健康局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放射源诊疗技术和医用辐射机构许可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卫生健康局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《放射性同位素与射线装置安全和防护条例》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《放射诊疗管理规定》（卫生部令第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46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号公布，国家卫生计生委令第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8</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卫生健康局</w:t>
            </w:r>
          </w:p>
        </w:tc>
        <w:tc>
          <w:tcPr>
            <w:tcW w:w="474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单采血浆站设置审批</w:t>
            </w:r>
          </w:p>
        </w:tc>
        <w:tc>
          <w:tcPr>
            <w:tcW w:w="17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卫生健康局</w:t>
            </w:r>
          </w:p>
        </w:tc>
        <w:tc>
          <w:tcPr>
            <w:tcW w:w="457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《血液制品管理条例》</w:t>
            </w:r>
          </w:p>
        </w:tc>
        <w:tc>
          <w:tcPr>
            <w:tcW w:w="2688"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Times New Roman"/>
                <w:b w:val="0"/>
                <w:bCs w:val="0"/>
                <w:i w:val="0"/>
                <w:iCs w:val="0"/>
                <w:color w:val="000000" w:themeColor="text1"/>
                <w:sz w:val="21"/>
                <w:szCs w:val="21"/>
                <w:u w:val="none"/>
                <w:lang w:val="en-US" w:eastAsia="zh-CN"/>
                <w14:textFill>
                  <w14:solidFill>
                    <w14:schemeClr w14:val="tx1"/>
                  </w14:solidFill>
                </w14:textFill>
              </w:rPr>
            </w:pPr>
            <w:r>
              <w:rPr>
                <w:rFonts w:hint="eastAsia" w:ascii="Times New Roman" w:hAnsi="Times New Roman" w:eastAsia="仿宋_GB2312" w:cs="Times New Roman"/>
                <w:b w:val="0"/>
                <w:bCs w:val="0"/>
                <w:i w:val="0"/>
                <w:iCs w:val="0"/>
                <w:color w:val="000000" w:themeColor="text1"/>
                <w:sz w:val="21"/>
                <w:szCs w:val="21"/>
                <w:u w:val="none"/>
                <w:lang w:val="en-US" w:eastAsia="zh-CN"/>
                <w14:textFill>
                  <w14:solidFill>
                    <w14:schemeClr w14:val="tx1"/>
                  </w14:solidFill>
                </w14:textFill>
              </w:rPr>
              <w:t>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卫生健康局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医师执业注册</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卫生健康局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《中华人民共和国医师法》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《医师执业注册管理办法》（国家卫生计生委令第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13</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lang w:val="en-US"/>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卫生健康局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乡村医生执业注册</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卫生健康局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《乡村医生从业管理条例》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卫生健康局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母婴保健服务人员资格认定</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卫生健康局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《中华人民共和国母婴保健法》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《中华人民共和国母婴保健法实施办法》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《母婴保健专项技术服务许可及人员资格管理办法》（卫妇发〔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1995</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7</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号公布，国家卫生健康委令第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7</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《国家职业资格目录（</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2021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年版）》</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卫生健康局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护士执业注册</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卫生健康局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《护士条例》</w:t>
            </w:r>
          </w:p>
        </w:tc>
        <w:tc>
          <w:tcPr>
            <w:tcW w:w="2688" w:type="dxa"/>
            <w:vMerge w:val="restart"/>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《国家职业资格目录（</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2021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年版）》</w:t>
            </w:r>
          </w:p>
        </w:tc>
        <w:tc>
          <w:tcPr>
            <w:tcW w:w="2688" w:type="dxa"/>
            <w:vMerge w:val="continue"/>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卫生健康局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确有专长的中医医师资格认定</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卫生健康局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《中华人民共和国中医药法》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《中医医术确有专长人员医师资格考核注册管理暂行办法》（国家卫生计生委令第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15</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lang w:val="en-US" w:eastAsia="zh-CN"/>
                <w14:textFill>
                  <w14:solidFill>
                    <w14:schemeClr w14:val="tx1"/>
                  </w14:solidFill>
                </w14:textFill>
              </w:rPr>
            </w:pPr>
            <w:r>
              <w:rPr>
                <w:rFonts w:hint="eastAsia" w:ascii="Times New Roman" w:hAnsi="Times New Roman" w:eastAsia="仿宋_GB2312" w:cs="Times New Roman"/>
                <w:b w:val="0"/>
                <w:bCs w:val="0"/>
                <w:i w:val="0"/>
                <w:iCs w:val="0"/>
                <w:color w:val="000000" w:themeColor="text1"/>
                <w:sz w:val="21"/>
                <w:szCs w:val="21"/>
                <w:u w:val="none"/>
                <w:lang w:val="en-US" w:eastAsia="zh-CN"/>
                <w14:textFill>
                  <w14:solidFill>
                    <w14:schemeClr w14:val="tx1"/>
                  </w14:solidFill>
                </w14:textFill>
              </w:rPr>
              <w:t>受理并逐级上报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6"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卫生健康局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确有专长的中医医师执业注册</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卫生健康局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《中华人民共和国中医药法》</w:t>
            </w:r>
          </w:p>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《中医医术确有专长人员医师资格考核注册管理暂行办法》（国家卫生计生委令第15号）</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卫生健康局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中医医疗机构设置审批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卫生健康局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《中华人民共和国中医药法》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《医疗机构管理条例》</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卫生健康局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中医医疗机构执业登记</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卫生健康局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《中华人民共和国中医药法》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《医疗机构管理条例》</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应急管理局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石油天然气建设项目安全设施设计审查</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应急管理局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《中华人民共和国安全生产法》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《建设项目安全设施</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三同时</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监督管理办法》（安全监管总局令第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36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号公布，安全监管总局令第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77</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《国家安全监管总局办公厅关于明确非煤矿山建设项目安全监管职责等事项的通知》（安监总厅管一〔</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2013</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143</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应急管理局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金属冶炼建设项目安全设施设计审查</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应急管理局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《中华人民共和国安全生产法》</w:t>
            </w:r>
          </w:p>
        </w:tc>
        <w:tc>
          <w:tcPr>
            <w:tcW w:w="2688" w:type="dxa"/>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《建设项目安全设施</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三同时</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监督管理办法》</w:t>
            </w:r>
          </w:p>
        </w:tc>
        <w:tc>
          <w:tcPr>
            <w:tcW w:w="268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（安全监管总局令第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36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号公布，安全监管总局令第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77</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《冶金企业和有色金属企业安全生产规定》（安全监管总局令第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91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1"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lang w:val="en-US"/>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应急管理局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生产、储存危险化学品建设项目安全条件审查</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应急管理局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《危险化学品安全管理条例》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《危险化学品建设项目安全监督管理办法》（安全监管总局令第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45</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号公布，安全监管总局令第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79</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6"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lang w:val="en-US"/>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应急管理局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生产、储存危险化学品建设项目安全设施设计审查</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应急管理局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i w:val="0"/>
                <w:i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i w:val="0"/>
                <w:iCs w:val="0"/>
                <w:color w:val="000000" w:themeColor="text1"/>
                <w:sz w:val="21"/>
                <w:szCs w:val="21"/>
                <w:lang w:val="en-US" w:eastAsia="zh-CN" w:bidi="ar"/>
                <w14:textFill>
                  <w14:solidFill>
                    <w14:schemeClr w14:val="tx1"/>
                  </w14:solidFill>
                </w14:textFill>
              </w:rPr>
              <w:t>《中华人民共和国安全生产法》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i w:val="0"/>
                <w:iCs w:val="0"/>
                <w:color w:val="000000" w:themeColor="text1"/>
                <w:sz w:val="21"/>
                <w:szCs w:val="21"/>
                <w:lang w:val="en-US" w:eastAsia="zh-CN" w:bidi="ar"/>
                <w14:textFill>
                  <w14:solidFill>
                    <w14:schemeClr w14:val="tx1"/>
                  </w14:solidFill>
                </w14:textFill>
              </w:rPr>
              <w:t>《危险化学品建设项目安全监督管理办法》（安全监管总局令第45号公布，安全监管总局令第79号修正）</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6"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应急管理局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危险化学品经营许可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应急管理局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i w:val="0"/>
                <w:i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i w:val="0"/>
                <w:iCs w:val="0"/>
                <w:color w:val="000000" w:themeColor="text1"/>
                <w:sz w:val="21"/>
                <w:szCs w:val="21"/>
                <w:lang w:val="en-US" w:eastAsia="zh-CN" w:bidi="ar"/>
                <w14:textFill>
                  <w14:solidFill>
                    <w14:schemeClr w14:val="tx1"/>
                  </w14:solidFill>
                </w14:textFill>
              </w:rPr>
              <w:t>《危险化学品安全管理条例》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i w:val="0"/>
                <w:iCs w:val="0"/>
                <w:color w:val="000000" w:themeColor="text1"/>
                <w:sz w:val="21"/>
                <w:szCs w:val="21"/>
                <w:lang w:val="en-US" w:eastAsia="zh-CN" w:bidi="ar"/>
                <w14:textFill>
                  <w14:solidFill>
                    <w14:schemeClr w14:val="tx1"/>
                  </w14:solidFill>
                </w14:textFill>
              </w:rPr>
              <w:t>《危险化学品经营许可证管理办法》（安全监管总局令第55号公布，安全监管总局令第79号修正）</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8"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应急管理局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生产、储存烟花爆竹建设项目安全设施设计审查</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应急管理局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《中华人民共和国安全生产法》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《建设项目安全设施</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三同时</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监督管理办法》（安全监管总局令第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36</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号公布，安全监管总局令第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77</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6"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应急管理局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烟花爆竹经营许可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应急管理局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《烟花爆竹安全管理条例》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《烟花爆竹经营许可实施办法》（安全监管总局令第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65</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2"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应急管理局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矿山建设项目安全设施设计审查</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应急管理局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《中华人民共和国安全生产法》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《煤矿安全监察条例》</w:t>
            </w:r>
          </w:p>
        </w:tc>
        <w:tc>
          <w:tcPr>
            <w:tcW w:w="268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i w:val="0"/>
                <w:iCs w:val="0"/>
                <w:color w:val="000000" w:themeColor="text1"/>
                <w:sz w:val="21"/>
                <w:szCs w:val="21"/>
                <w:lang w:val="en-US" w:eastAsia="zh-CN" w:bidi="ar"/>
                <w14:textFill>
                  <w14:solidFill>
                    <w14:schemeClr w14:val="tx1"/>
                  </w14:solidFill>
                </w14:textFill>
              </w:rPr>
              <w:t>各类煤矿安全设施设计审查由省应急厅实施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5"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《煤矿建设项目安全设施监察规定》（安全监管总局令第</w:t>
            </w:r>
            <w:r>
              <w:rPr>
                <w:rStyle w:val="32"/>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6</w:t>
            </w: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号公布，安全监管总局令第</w:t>
            </w:r>
            <w:r>
              <w:rPr>
                <w:rStyle w:val="32"/>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81</w:t>
            </w: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《建设项目安全设施</w:t>
            </w:r>
            <w:r>
              <w:rPr>
                <w:rStyle w:val="32"/>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三同时</w:t>
            </w:r>
            <w:r>
              <w:rPr>
                <w:rStyle w:val="32"/>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监督管理办法》（安全监管总局令第</w:t>
            </w:r>
            <w:r>
              <w:rPr>
                <w:rStyle w:val="32"/>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36</w:t>
            </w: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号公布，安全监管总局令第</w:t>
            </w:r>
            <w:r>
              <w:rPr>
                <w:rStyle w:val="32"/>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77</w:t>
            </w: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《国家安全监管总局办公厅关于切实做好国家取消和下放投资审批有关建设项目安全监管工作的通知》（安监总厅政法〔</w:t>
            </w:r>
            <w:r>
              <w:rPr>
                <w:rStyle w:val="32"/>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2013</w:t>
            </w: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32"/>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120</w:t>
            </w: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《国家安全监管总局办公厅关于明确非煤矿山建设项目安全监管职责等事项的通知》（安监总厅管一〔</w:t>
            </w:r>
            <w:r>
              <w:rPr>
                <w:rStyle w:val="32"/>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2013</w:t>
            </w: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32"/>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143</w:t>
            </w: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《中华人民共和国应急管理部公告》（</w:t>
            </w:r>
            <w:r>
              <w:rPr>
                <w:rStyle w:val="32"/>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2021</w:t>
            </w: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年第</w:t>
            </w:r>
            <w:r>
              <w:rPr>
                <w:rStyle w:val="32"/>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1</w:t>
            </w: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林草种子生产经营许可证核发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《中华人民共和国种子法》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林草植物检疫证书核发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《植物检疫条例》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2"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建设项目使用林地及在森林和野生动物类型国家级自然保护区建设审批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《中华人民共和国森林法》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《中华人民共和国森林法实施条例》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《森林和野生动物类型自然保护区管理办法》</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林木采伐许可证核发</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《中华人民共和国森林法》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《中华人民共和国森林法实施条例》</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lang w:val="en-US"/>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猎捕陆生野生动物审批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《中华人民共和国野生动物保护法》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《中华人民共和国陆生野生动物保护实施条例》</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9"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lang w:val="en-US"/>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t>森林草原防火期内在森林草原防火区野外用火审批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《森林防火条例》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《草原防火条例》</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森林草原防火期内在森林草原防火区爆破、勘察和施工等活动审批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《森林防火条例》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《草原防火条例》</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8"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进入森林高火险区、草原防火管制区审批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《森林防火条例》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《草原防火条例》</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t>工商企业等社会资本通过流转取得林地经营权审批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《中华人民共和国农村土地承包法》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在风景名胜区内从事建设、设置广告、举办大型游乐活动以及其他影响生态和景观活动许可</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5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《风景名胜区条例》</w:t>
            </w:r>
          </w:p>
        </w:tc>
        <w:tc>
          <w:tcPr>
            <w:tcW w:w="268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268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t>市场监督管理局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食品生产许可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市场监督管理局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《中华人民共和国食品安全法》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《食品生产许可管理办法》（市场监管总局令第</w:t>
            </w:r>
            <w:r>
              <w:rPr>
                <w:rStyle w:val="32"/>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24</w:t>
            </w:r>
            <w:r>
              <w:rPr>
                <w:rStyle w:val="31"/>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t>市场监督管理局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食品经营许可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市场监督管理局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《中华人民共和国食品安全法》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t>市场监督管理局</w:t>
            </w:r>
          </w:p>
        </w:tc>
        <w:tc>
          <w:tcPr>
            <w:tcW w:w="47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承担国家法定计量检定机构任务授权</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市场监督管理局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《中华人民共和国计量法》</w:t>
            </w:r>
          </w:p>
        </w:tc>
        <w:tc>
          <w:tcPr>
            <w:tcW w:w="2688" w:type="dxa"/>
            <w:vMerge w:val="restart"/>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Chars="0"/>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pPr>
          </w:p>
        </w:tc>
        <w:tc>
          <w:tcPr>
            <w:tcW w:w="47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《中华人民共和国计量法实施细则》</w:t>
            </w:r>
          </w:p>
        </w:tc>
        <w:tc>
          <w:tcPr>
            <w:tcW w:w="2688" w:type="dxa"/>
            <w:vMerge w:val="continue"/>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9"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t>市场监督管理局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企业登记注册</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市场监督管理局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《中华人民共和国公司法》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《中华人民共和国合伙企业法》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《中华人民共和国个人独资企业法》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《中华人民共和国外商投资法》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《中华人民共和国外商投资法实施条例》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《中华人民共和国公司登记管理条例》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《中华人民共和国企业法人登记管理条例》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《中华人民共和国合伙企业登记管理办法》</w:t>
            </w:r>
          </w:p>
        </w:tc>
        <w:tc>
          <w:tcPr>
            <w:tcW w:w="2688"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lang w:val="en-US"/>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t>市场监督管理局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个体工商户登记注册</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市场监督管理局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《个体工商户条例》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lang w:val="en-US"/>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t>市场监督管理局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农民专业合作社登记注册</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市场监督管理局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《中华人民共和国农民专业合作社法》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《农民专业合作社登记管理条例》</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t>市场监督管理局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药品零售企业经营许可</w:t>
            </w:r>
          </w:p>
        </w:tc>
        <w:tc>
          <w:tcPr>
            <w:tcW w:w="174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市场监督管理局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《中华人民共和国药品管理法》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《中华人民共和国药品管理法实施条例》</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w w:val="90"/>
                <w:kern w:val="0"/>
                <w:sz w:val="21"/>
                <w:szCs w:val="21"/>
                <w:u w:val="none"/>
                <w:lang w:val="en-US" w:eastAsia="zh-CN" w:bidi="ar"/>
                <w14:textFill>
                  <w14:solidFill>
                    <w14:schemeClr w14:val="tx1"/>
                  </w14:solidFill>
                </w14:textFill>
              </w:rPr>
              <w:t>市场监督管理局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第三类医疗器械经营许可</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市场监督管理局</w:t>
            </w:r>
          </w:p>
        </w:tc>
        <w:tc>
          <w:tcPr>
            <w:tcW w:w="45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《医疗器械监督管理条例》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市委办公室</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延期移交档案审批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档案馆</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《中华人民共和国档案法实施办法》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事业单位登记管理局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事业单位登记</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事业单位登记管理局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《事业单位登记管理暂行条例》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《事业单位登记管理暂行条例实施细则》（中央编办发〔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2014</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4</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烟草专卖局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烟草专卖零售许可</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烟草专卖局</w:t>
            </w:r>
          </w:p>
        </w:tc>
        <w:tc>
          <w:tcPr>
            <w:tcW w:w="457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《中华人民共和国烟草专卖法》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《中华人民共和国烟草专卖法实施条例》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国家税务总局常宁税务局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增值税防伪税控系统最高开票限额审批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国家税务总局常宁税务局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《国务院对确需保留的行政审批项目设定行政许可的决定》</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消防救援大队</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公众聚集场所投入使用、营业前消防安全检查</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消防救援大队</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《中华人民共和国消防法》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气象局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雷电防护装置设计审核</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气象局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《气象灾害防御条例》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lang w:val="en-US"/>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气象局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雷电防护装置竣工验收</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气象局</w:t>
            </w:r>
          </w:p>
        </w:tc>
        <w:tc>
          <w:tcPr>
            <w:tcW w:w="45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《气象灾害防御条例》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lang w:val="en-US"/>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气象局</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升放无人驾驶自由气球或者系留气球活动审批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气象局</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《通用航空飞行管制条例》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《国务院关于第六批取消和调整行政审批项目的决定》（国发〔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2012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52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市委宣传部</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出版物零售业务经营许可</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市委宣传部</w:t>
            </w:r>
          </w:p>
        </w:tc>
        <w:tc>
          <w:tcPr>
            <w:tcW w:w="457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《出版管理条例》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市委宣传部</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电影放映单位设立审批</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市委宣传部</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《中华人民共和国电影产业促进法》</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《电影管理条例》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《外商投资电影院暂行规定》（广播电影电视总局、商务部、文化部令第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21</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号公布，广播电影电视总局令第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52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号修正）</w:t>
            </w:r>
          </w:p>
        </w:tc>
        <w:tc>
          <w:tcPr>
            <w:tcW w:w="2688" w:type="dxa"/>
            <w:tcBorders>
              <w:top w:val="single" w:color="000000" w:sz="4" w:space="0"/>
              <w:left w:val="nil"/>
              <w:bottom w:val="single" w:color="000000" w:sz="4" w:space="0"/>
              <w:right w:val="single" w:color="000000" w:sz="4" w:space="0"/>
            </w:tcBorders>
            <w:shd w:val="clear" w:color="auto" w:fill="FFFFFF"/>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关闭、闲置、拆除城市环境卫生设施许可</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《中华人民共和国固体废物污染环境防治法》</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拆除环境卫生设施许可</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城市管理和综合执法局、衡阳市生态环境局常宁分局</w:t>
            </w:r>
          </w:p>
        </w:tc>
        <w:tc>
          <w:tcPr>
            <w:tcW w:w="457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《城市市容和环境卫生管理条例》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从事城市生活垃圾经营性清扫、收集、运输、处理服务审批</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《国务院对确需保留的行政审批项目设定行政许可的决定》</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《衡阳市市、区两级财权、事权体制改革实施方案》（衡办发〔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2022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 xml:space="preserve">2 </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城市建筑垃圾处置核准</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《国务院对确需保留的行政审批项目设定行政许可的决定》</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特殊车辆在城市道路上行驶审批</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《城市道路管理条例》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《衡阳市市、区两级财权、事权体制改革实施方案》（衡办发〔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2022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 xml:space="preserve">2 </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改变绿化规划、绿化用地的使用性质审批</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《国务院对确需保留的行政审批项目设定行政许可的决定》</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lang w:val="en-US"/>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工程建设涉及城市绿地、树木审批</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《城市绿化条例》</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lang w:val="en-US"/>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设置大型户外广告及在城市建筑物、设施上悬挂、张贴宣传品审批</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《城市市容和环境卫生管理条例》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临时性建筑物搭建、堆放物料、占道施工审批</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城市管理和综合执法局</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《城市市容和环境卫生管理条例》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《衡阳市市、区两级财权、事权体制改革实施方案》（衡办发〔</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2022</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 xml:space="preserve">2 </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nil"/>
              <w:bottom w:val="single" w:color="000000" w:sz="4" w:space="0"/>
              <w:right w:val="single" w:color="000000" w:sz="4" w:space="0"/>
            </w:tcBorders>
            <w:shd w:val="clear" w:color="auto" w:fill="FFFFFF"/>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1"/>
              </w:numPr>
              <w:suppressLineNumbers w:val="0"/>
              <w:ind w:left="454" w:leftChars="0" w:hanging="454" w:firstLineChars="0"/>
              <w:jc w:val="center"/>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司法</w:t>
            </w:r>
            <w:r>
              <w:rPr>
                <w:rStyle w:val="29"/>
                <w:rFonts w:hint="eastAsia"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基层法律服务工作者执业核准</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eastAsia"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司法局</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Style w:val="29"/>
                <w:rFonts w:hint="eastAsia"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《国务院对确需保留的行政审批项目设定行政许可的决定》</w:t>
            </w:r>
          </w:p>
          <w:p>
            <w:pPr>
              <w:keepNext w:val="0"/>
              <w:keepLines w:val="0"/>
              <w:widowControl/>
              <w:suppressLineNumbers w:val="0"/>
              <w:jc w:val="both"/>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《国务院关于第六批取消和调整行政审批项目的决定》（国发〔2012〕52号）</w:t>
            </w:r>
          </w:p>
        </w:tc>
        <w:tc>
          <w:tcPr>
            <w:tcW w:w="2688"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pPr>
            <w:r>
              <w:rPr>
                <w:rStyle w:val="29"/>
                <w:rFonts w:hint="eastAsia"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6012"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黑体" w:cs="Times New Roman"/>
                <w:b w:val="0"/>
                <w:bCs w:val="0"/>
                <w:i w:val="0"/>
                <w:iCs w:val="0"/>
                <w:color w:val="000000" w:themeColor="text1"/>
                <w:sz w:val="32"/>
                <w:szCs w:val="32"/>
                <w:u w:val="none"/>
                <w14:textFill>
                  <w14:solidFill>
                    <w14:schemeClr w14:val="tx1"/>
                  </w14:solidFill>
                </w14:textFill>
              </w:rPr>
            </w:pPr>
            <w:r>
              <w:rPr>
                <w:rFonts w:hint="default" w:ascii="Times New Roman" w:hAnsi="Times New Roman" w:eastAsia="黑体" w:cs="Times New Roman"/>
                <w:b w:val="0"/>
                <w:bCs w:val="0"/>
                <w:i w:val="0"/>
                <w:iCs w:val="0"/>
                <w:color w:val="000000" w:themeColor="text1"/>
                <w:kern w:val="0"/>
                <w:sz w:val="32"/>
                <w:szCs w:val="32"/>
                <w:u w:val="none"/>
                <w:lang w:val="en-US" w:eastAsia="zh-CN" w:bidi="ar"/>
                <w14:textFill>
                  <w14:solidFill>
                    <w14:schemeClr w14:val="tx1"/>
                  </w14:solidFill>
                </w14:textFill>
              </w:rPr>
              <w:t xml:space="preserve">    二、地方性法规、省级政府规章设定的行政许可事项（5项）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themeColor="text1"/>
                <w:sz w:val="22"/>
                <w:szCs w:val="22"/>
                <w:u w:val="none"/>
                <w14:textFill>
                  <w14:solidFill>
                    <w14:schemeClr w14:val="tx1"/>
                  </w14:solidFill>
                </w14:textFill>
              </w:rPr>
            </w:pPr>
            <w:r>
              <w:rPr>
                <w:rStyle w:val="27"/>
                <w:rFonts w:hint="default" w:ascii="Times New Roman" w:hAnsi="Times New Roman" w:cs="Times New Roman"/>
                <w:b w:val="0"/>
                <w:bCs w:val="0"/>
                <w:color w:val="000000" w:themeColor="text1"/>
                <w:lang w:val="en-US" w:eastAsia="zh-CN" w:bidi="ar"/>
                <w14:textFill>
                  <w14:solidFill>
                    <w14:schemeClr w14:val="tx1"/>
                  </w14:solidFill>
                </w14:textFill>
              </w:rPr>
              <w:t>序号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themeColor="text1"/>
                <w:sz w:val="22"/>
                <w:szCs w:val="22"/>
                <w:u w:val="none"/>
                <w14:textFill>
                  <w14:solidFill>
                    <w14:schemeClr w14:val="tx1"/>
                  </w14:solidFill>
                </w14:textFill>
              </w:rPr>
            </w:pPr>
            <w:r>
              <w:rPr>
                <w:rStyle w:val="27"/>
                <w:rFonts w:hint="default" w:ascii="Times New Roman" w:hAnsi="Times New Roman" w:cs="Times New Roman"/>
                <w:b w:val="0"/>
                <w:bCs w:val="0"/>
                <w:color w:val="000000" w:themeColor="text1"/>
                <w:lang w:val="en-US" w:eastAsia="zh-CN" w:bidi="ar"/>
                <w14:textFill>
                  <w14:solidFill>
                    <w14:schemeClr w14:val="tx1"/>
                  </w14:solidFill>
                </w14:textFill>
              </w:rPr>
              <w:t>主管部门</w:t>
            </w:r>
          </w:p>
        </w:tc>
        <w:tc>
          <w:tcPr>
            <w:tcW w:w="4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themeColor="text1"/>
                <w:sz w:val="22"/>
                <w:szCs w:val="22"/>
                <w:u w:val="none"/>
                <w14:textFill>
                  <w14:solidFill>
                    <w14:schemeClr w14:val="tx1"/>
                  </w14:solidFill>
                </w14:textFill>
              </w:rPr>
            </w:pPr>
            <w:r>
              <w:rPr>
                <w:rStyle w:val="27"/>
                <w:rFonts w:hint="default" w:ascii="Times New Roman" w:hAnsi="Times New Roman" w:cs="Times New Roman"/>
                <w:b w:val="0"/>
                <w:bCs w:val="0"/>
                <w:color w:val="000000" w:themeColor="text1"/>
                <w:lang w:val="en-US" w:eastAsia="zh-CN" w:bidi="ar"/>
                <w14:textFill>
                  <w14:solidFill>
                    <w14:schemeClr w14:val="tx1"/>
                  </w14:solidFill>
                </w14:textFill>
              </w:rPr>
              <w:t>事项名称</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themeColor="text1"/>
                <w:sz w:val="22"/>
                <w:szCs w:val="22"/>
                <w:u w:val="none"/>
                <w14:textFill>
                  <w14:solidFill>
                    <w14:schemeClr w14:val="tx1"/>
                  </w14:solidFill>
                </w14:textFill>
              </w:rPr>
            </w:pPr>
            <w:r>
              <w:rPr>
                <w:rStyle w:val="27"/>
                <w:rFonts w:hint="default" w:ascii="Times New Roman" w:hAnsi="Times New Roman" w:cs="Times New Roman"/>
                <w:b w:val="0"/>
                <w:bCs w:val="0"/>
                <w:color w:val="000000" w:themeColor="text1"/>
                <w:lang w:val="en-US" w:eastAsia="zh-CN" w:bidi="ar"/>
                <w14:textFill>
                  <w14:solidFill>
                    <w14:schemeClr w14:val="tx1"/>
                  </w14:solidFill>
                </w14:textFill>
              </w:rPr>
              <w:t>实施机关</w:t>
            </w:r>
          </w:p>
        </w:tc>
        <w:tc>
          <w:tcPr>
            <w:tcW w:w="4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themeColor="text1"/>
                <w:sz w:val="22"/>
                <w:szCs w:val="22"/>
                <w:u w:val="none"/>
                <w14:textFill>
                  <w14:solidFill>
                    <w14:schemeClr w14:val="tx1"/>
                  </w14:solidFill>
                </w14:textFill>
              </w:rPr>
            </w:pPr>
            <w:r>
              <w:rPr>
                <w:rStyle w:val="27"/>
                <w:rFonts w:hint="default" w:ascii="Times New Roman" w:hAnsi="Times New Roman" w:cs="Times New Roman"/>
                <w:b w:val="0"/>
                <w:bCs w:val="0"/>
                <w:color w:val="000000" w:themeColor="text1"/>
                <w:lang w:val="en-US" w:eastAsia="zh-CN" w:bidi="ar"/>
                <w14:textFill>
                  <w14:solidFill>
                    <w14:schemeClr w14:val="tx1"/>
                  </w14:solidFill>
                </w14:textFill>
              </w:rPr>
              <w:t>设定和实施依据</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themeColor="text1"/>
                <w:sz w:val="22"/>
                <w:szCs w:val="22"/>
                <w:u w:val="none"/>
                <w14:textFill>
                  <w14:solidFill>
                    <w14:schemeClr w14:val="tx1"/>
                  </w14:solidFill>
                </w14:textFill>
              </w:rPr>
            </w:pPr>
            <w:r>
              <w:rPr>
                <w:rStyle w:val="27"/>
                <w:rFonts w:hint="default" w:ascii="Times New Roman" w:hAnsi="Times New Roman" w:cs="Times New Roman"/>
                <w:b w:val="0"/>
                <w:bCs w:val="0"/>
                <w:color w:val="000000" w:themeColor="text1"/>
                <w:lang w:val="en-US" w:eastAsia="zh-CN" w:bidi="ar"/>
                <w14:textFill>
                  <w14:solidFill>
                    <w14:schemeClr w14:val="tx1"/>
                  </w14:solidFill>
                </w14:textFill>
              </w:rPr>
              <w:t>备</w:t>
            </w:r>
            <w:r>
              <w:rPr>
                <w:rStyle w:val="28"/>
                <w:rFonts w:hint="default" w:ascii="Times New Roman" w:hAnsi="Times New Roman" w:eastAsia="宋体" w:cs="Times New Roman"/>
                <w:b w:val="0"/>
                <w:bCs w:val="0"/>
                <w:color w:val="000000" w:themeColor="text1"/>
                <w:lang w:val="en-US" w:eastAsia="zh-CN" w:bidi="ar"/>
                <w14:textFill>
                  <w14:solidFill>
                    <w14:schemeClr w14:val="tx1"/>
                  </w14:solidFill>
                </w14:textFill>
              </w:rPr>
              <w:t xml:space="preserve">   </w:t>
            </w:r>
            <w:r>
              <w:rPr>
                <w:rStyle w:val="27"/>
                <w:rFonts w:hint="default" w:ascii="Times New Roman" w:hAnsi="Times New Roman" w:cs="Times New Roman"/>
                <w:b w:val="0"/>
                <w:bCs w:val="0"/>
                <w:color w:val="000000" w:themeColor="text1"/>
                <w:lang w:val="en-US" w:eastAsia="zh-CN" w:bidi="ar"/>
                <w14:textFill>
                  <w14:solidFill>
                    <w14:schemeClr w14:val="tx1"/>
                  </w14:solidFill>
                </w14:textFill>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猎采省重点保护的野生动植物审批</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《湖南省野生动植物资源保护条例》</w:t>
            </w:r>
          </w:p>
        </w:tc>
        <w:tc>
          <w:tcPr>
            <w:tcW w:w="26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7"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2</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移植古树名木审批</w:t>
            </w:r>
          </w:p>
        </w:tc>
        <w:tc>
          <w:tcPr>
            <w:tcW w:w="1747"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《湖南省林业条例》</w:t>
            </w:r>
          </w:p>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《湖南省古树名木保护办法》</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3</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植物园设立许可</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林业局</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《湖南省植物园条例》</w:t>
            </w:r>
          </w:p>
        </w:tc>
        <w:tc>
          <w:tcPr>
            <w:tcW w:w="2688"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b w:val="0"/>
                <w:bCs w:val="0"/>
                <w:i w:val="0"/>
                <w:iCs w:val="0"/>
                <w:color w:val="000000" w:themeColor="text1"/>
                <w:sz w:val="21"/>
                <w:szCs w:val="21"/>
                <w:u w:val="none"/>
                <w:lang w:val="en-US" w:eastAsia="zh-CN"/>
                <w14:textFill>
                  <w14:solidFill>
                    <w14:schemeClr w14:val="tx1"/>
                  </w14:solidFill>
                </w14:textFill>
              </w:rPr>
            </w:pPr>
            <w:r>
              <w:rPr>
                <w:rFonts w:hint="eastAsia" w:ascii="Times New Roman" w:hAnsi="Times New Roman" w:eastAsia="仿宋_GB2312" w:cs="Times New Roman"/>
                <w:b w:val="0"/>
                <w:bCs w:val="0"/>
                <w:i w:val="0"/>
                <w:iCs w:val="0"/>
                <w:color w:val="000000" w:themeColor="text1"/>
                <w:sz w:val="21"/>
                <w:szCs w:val="21"/>
                <w:u w:val="none"/>
                <w:lang w:val="en-US" w:eastAsia="zh-CN"/>
                <w14:textFill>
                  <w14:solidFill>
                    <w14:schemeClr w14:val="tx1"/>
                  </w14:solidFill>
                </w14:textFill>
              </w:rPr>
              <w:t>负责审核，报上级人民政府批准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4</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市场监督管理局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小餐饮经营许可</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市场监督管理局</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《湖南省食品生产加工小作坊小餐饮和食品摊贩管理条例》</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jc w:val="center"/>
        </w:trPr>
        <w:tc>
          <w:tcPr>
            <w:tcW w:w="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5</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Fonts w:hint="default" w:ascii="Times New Roman" w:hAnsi="Times New Roman" w:eastAsia="仿宋_GB2312" w:cs="Times New Roman"/>
                <w:b w:val="0"/>
                <w:bCs w:val="0"/>
                <w:i w:val="0"/>
                <w:iCs w:val="0"/>
                <w:color w:val="000000" w:themeColor="text1"/>
                <w:kern w:val="0"/>
                <w:sz w:val="21"/>
                <w:szCs w:val="21"/>
                <w:u w:val="none"/>
                <w:lang w:val="en-US" w:eastAsia="zh-CN" w:bidi="ar"/>
                <w14:textFill>
                  <w14:solidFill>
                    <w14:schemeClr w14:val="tx1"/>
                  </w14:solidFill>
                </w14:textFill>
              </w:rPr>
              <w:t>住房和城乡建设局</w:t>
            </w:r>
          </w:p>
        </w:tc>
        <w:tc>
          <w:tcPr>
            <w:tcW w:w="4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权限内单独修建人防工程许可</w:t>
            </w:r>
          </w:p>
        </w:tc>
        <w:tc>
          <w:tcPr>
            <w:tcW w:w="17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人防办</w:t>
            </w:r>
          </w:p>
        </w:tc>
        <w:tc>
          <w:tcPr>
            <w:tcW w:w="4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《湖南省实施〈中华人民共和国人民防空法〉办法》《湖南省人民防空工程建设与维护管理规定》（省政府令第</w:t>
            </w:r>
            <w:r>
              <w:rPr>
                <w:rStyle w:val="28"/>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297</w:t>
            </w:r>
            <w:r>
              <w:rPr>
                <w:rStyle w:val="29"/>
                <w:rFonts w:hint="default" w:ascii="Times New Roman" w:hAnsi="Times New Roman" w:eastAsia="仿宋_GB2312" w:cs="Times New Roman"/>
                <w:b w:val="0"/>
                <w:bCs w:val="0"/>
                <w:color w:val="000000" w:themeColor="text1"/>
                <w:sz w:val="21"/>
                <w:szCs w:val="21"/>
                <w:lang w:val="en-US" w:eastAsia="zh-CN" w:bidi="ar"/>
                <w14:textFill>
                  <w14:solidFill>
                    <w14:schemeClr w14:val="tx1"/>
                  </w14:solidFill>
                </w14:textFill>
              </w:rPr>
              <w:t>号）</w:t>
            </w:r>
          </w:p>
        </w:tc>
        <w:tc>
          <w:tcPr>
            <w:tcW w:w="2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_GB2312" w:cs="Times New Roman"/>
                <w:b w:val="0"/>
                <w:bCs w:val="0"/>
                <w:i w:val="0"/>
                <w:iCs w:val="0"/>
                <w:color w:val="000000" w:themeColor="text1"/>
                <w:sz w:val="21"/>
                <w:szCs w:val="21"/>
                <w:u w:val="none"/>
                <w14:textFill>
                  <w14:solidFill>
                    <w14:schemeClr w14:val="tx1"/>
                  </w14:solidFill>
                </w14:textFill>
              </w:rPr>
            </w:pPr>
          </w:p>
        </w:tc>
      </w:tr>
    </w:tbl>
    <w:p>
      <w:pPr>
        <w:pStyle w:val="33"/>
        <w:sectPr>
          <w:footerReference r:id="rId5" w:type="first"/>
          <w:footerReference r:id="rId3" w:type="default"/>
          <w:footerReference r:id="rId4" w:type="even"/>
          <w:pgSz w:w="16838" w:h="11906" w:orient="landscape"/>
          <w:pgMar w:top="2098" w:right="1474" w:bottom="1701" w:left="1587" w:header="851" w:footer="992" w:gutter="0"/>
          <w:pgNumType w:fmt="numberInDash" w:start="2"/>
          <w:cols w:space="720" w:num="1"/>
          <w:titlePg/>
          <w:rtlGutter w:val="0"/>
          <w:docGrid w:type="lines" w:linePitch="312" w:charSpace="0"/>
        </w:sectPr>
      </w:pPr>
    </w:p>
    <w:p>
      <w:pPr>
        <w:pStyle w:val="33"/>
      </w:pPr>
    </w:p>
    <w:p>
      <w:pPr>
        <w:pStyle w:val="33"/>
      </w:pPr>
    </w:p>
    <w:p>
      <w:pPr>
        <w:pStyle w:val="33"/>
      </w:pPr>
    </w:p>
    <w:p>
      <w:pPr>
        <w:pStyle w:val="3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p>
    <w:p>
      <w:pPr>
        <w:pStyle w:val="3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p>
    <w:p>
      <w:pPr>
        <w:pStyle w:val="3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p>
    <w:p>
      <w:pPr>
        <w:pStyle w:val="3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p>
    <w:p>
      <w:pPr>
        <w:pStyle w:val="3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p>
    <w:p>
      <w:pPr>
        <w:pStyle w:val="3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p>
    <w:p>
      <w:pPr>
        <w:pStyle w:val="3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p>
    <w:p>
      <w:pPr>
        <w:pStyle w:val="3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p>
    <w:p>
      <w:pPr>
        <w:pStyle w:val="3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p>
    <w:p>
      <w:pPr>
        <w:pStyle w:val="3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p>
    <w:p>
      <w:pPr>
        <w:pStyle w:val="3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p>
    <w:p>
      <w:pPr>
        <w:pStyle w:val="3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p>
    <w:p>
      <w:pPr>
        <w:pStyle w:val="3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p>
    <w:p>
      <w:pPr>
        <w:pStyle w:val="3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p>
    <w:p>
      <w:pPr>
        <w:pStyle w:val="33"/>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微软雅黑" w:cs="Times New Roman"/>
          <w:sz w:val="22"/>
          <w:szCs w:val="21"/>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5340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5340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0pt;height:0pt;width:435.75pt;mso-position-horizontal:center;z-index:251660288;mso-width-relative:page;mso-height-relative:page;" filled="f" stroked="t" coordsize="21600,21600" o:gfxdata="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0CYHtIAAAACAQAADwAAAAAAAAABACAAAAAiAAAAZHJzL2Rvd25yZXYueG1sUEsBAhQA&#10;FAAAAAgAh07iQJjAigf4AQAA8gMAAA4AAAAAAAAAAQAgAAAAIQ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szCs w:val="32"/>
        </w:rPr>
        <w:t xml:space="preserve">  抄送：市委各部门，市人武部。</w:t>
      </w:r>
    </w:p>
    <w:p>
      <w:pPr>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市人大常委会办公室，市政协办公室，市人民法院，</w:t>
      </w:r>
    </w:p>
    <w:p>
      <w:pPr>
        <w:keepNext w:val="0"/>
        <w:keepLines w:val="0"/>
        <w:pageBreakBefore w:val="0"/>
        <w:widowControl w:val="0"/>
        <w:tabs>
          <w:tab w:val="left" w:pos="6840"/>
        </w:tabs>
        <w:kinsoku/>
        <w:wordWrap/>
        <w:overflowPunct/>
        <w:topLinePunct w:val="0"/>
        <w:bidi w:val="0"/>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市人民检察院。</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bidi w:val="0"/>
        <w:snapToGrid/>
        <w:spacing w:line="600" w:lineRule="exact"/>
        <w:ind w:firstLine="220" w:firstLineChars="100"/>
        <w:textAlignment w:val="auto"/>
        <w:rPr>
          <w:rFonts w:hint="default" w:ascii="Times New Roman" w:hAnsi="Times New Roman" w:eastAsia="仿宋_GB2312" w:cs="Times New Roman"/>
          <w:sz w:val="32"/>
          <w:szCs w:val="32"/>
        </w:rPr>
      </w:pPr>
      <w:r>
        <w:rPr>
          <w:rFonts w:hint="default" w:ascii="Times New Roman" w:hAnsi="Times New Roman" w:eastAsia="微软雅黑" w:cs="Times New Roman"/>
          <w:sz w:val="22"/>
          <w:szCs w:val="21"/>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396240</wp:posOffset>
                </wp:positionV>
                <wp:extent cx="553402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340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31.2pt;height:0pt;width:435.75pt;mso-position-horizontal:center;z-index:251661312;mso-width-relative:page;mso-height-relative:page;" filled="f" stroked="t" coordsize="21600,21600" o:gfxdata="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6ssFG1AAAAAYBAAAPAAAAAAAAAAEAIAAAACIAAABkcnMvZG93bnJldi54bWxQSwEC&#10;FAAUAAAACACHTuJAKJtOO/gBAADyAwAADgAAAAAAAAABACAAAAAjAQAAZHJzL2Uyb0RvYy54bWxQ&#10;SwUGAAAAAAYABgBZAQAAjQUAAAAA&#10;">
                <v:fill on="f" focussize="0,0"/>
                <v:stroke color="#000000" joinstyle="round"/>
                <v:imagedata o:title=""/>
                <o:lock v:ext="edit" aspectratio="f"/>
              </v:line>
            </w:pict>
          </mc:Fallback>
        </mc:AlternateContent>
      </w:r>
      <w:r>
        <w:rPr>
          <w:rFonts w:hint="default" w:ascii="Times New Roman" w:hAnsi="Times New Roman" w:eastAsia="微软雅黑" w:cs="Times New Roman"/>
          <w:sz w:val="22"/>
          <w:szCs w:val="21"/>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553402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340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0pt;height:0pt;width:435.75pt;mso-position-horizontal:center;z-index:251662336;mso-width-relative:page;mso-height-relative:page;" filled="f" stroked="t" coordsize="21600,21600" o:gfxdata="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0CYHtIAAAACAQAADwAAAAAAAAABACAAAAAiAAAAZHJzL2Rvd25yZXYueG1sUEsBAhQA&#10;FAAAAAgAh07iQIev3Zn4AQAA8gMAAA4AAAAAAAAAAQAgAAAAIQ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szCs w:val="32"/>
        </w:rPr>
        <w:t xml:space="preserve">常宁市人民政府办公室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日印发</w:t>
      </w:r>
      <w:bookmarkStart w:id="0" w:name="_GoBack"/>
      <w:bookmarkEnd w:id="0"/>
    </w:p>
    <w:p>
      <w:pPr>
        <w:pStyle w:val="33"/>
        <w:jc w:val="right"/>
        <w:rPr>
          <w:rFonts w:hint="default" w:ascii="Times New Roman" w:hAnsi="Times New Roman" w:eastAsia="楷体_GB2312" w:cs="Times New Roman"/>
          <w:color w:val="000000"/>
          <w:sz w:val="32"/>
          <w:szCs w:val="32"/>
          <w:shd w:val="clear" w:fill="FFFFFF"/>
          <w:lang w:eastAsia="zh-CN"/>
        </w:rPr>
      </w:pPr>
      <w:r>
        <w:rPr>
          <w:sz w:val="32"/>
        </w:rPr>
        <mc:AlternateContent>
          <mc:Choice Requires="wps">
            <w:drawing>
              <wp:anchor distT="0" distB="0" distL="114300" distR="114300" simplePos="0" relativeHeight="251663360" behindDoc="0" locked="0" layoutInCell="1" allowOverlap="1">
                <wp:simplePos x="0" y="0"/>
                <wp:positionH relativeFrom="column">
                  <wp:posOffset>4911090</wp:posOffset>
                </wp:positionH>
                <wp:positionV relativeFrom="paragraph">
                  <wp:posOffset>448945</wp:posOffset>
                </wp:positionV>
                <wp:extent cx="704850" cy="333375"/>
                <wp:effectExtent l="0" t="0" r="0" b="9525"/>
                <wp:wrapNone/>
                <wp:docPr id="12" name="文本框 12"/>
                <wp:cNvGraphicFramePr/>
                <a:graphic xmlns:a="http://schemas.openxmlformats.org/drawingml/2006/main">
                  <a:graphicData uri="http://schemas.microsoft.com/office/word/2010/wordprocessingShape">
                    <wps:wsp>
                      <wps:cNvSpPr txBox="1"/>
                      <wps:spPr>
                        <a:xfrm>
                          <a:off x="0" y="0"/>
                          <a:ext cx="704850" cy="333375"/>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- 35 -</w:t>
                            </w:r>
                          </w:p>
                        </w:txbxContent>
                      </wps:txbx>
                      <wps:bodyPr upright="1"/>
                    </wps:wsp>
                  </a:graphicData>
                </a:graphic>
              </wp:anchor>
            </w:drawing>
          </mc:Choice>
          <mc:Fallback>
            <w:pict>
              <v:shape id="_x0000_s1026" o:spid="_x0000_s1026" o:spt="202" type="#_x0000_t202" style="position:absolute;left:0pt;margin-left:386.7pt;margin-top:35.35pt;height:26.25pt;width:55.5pt;z-index:251663360;mso-width-relative:page;mso-height-relative:page;" fillcolor="#FFFFFF" filled="t" stroked="f" coordsize="21600,21600" o:gfxdata="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RmhffXAAAACgEAAA8AAAAAAAAAAQAgAAAAIgAAAGRycy9kb3ducmV2LnhtbFBL&#10;AQIUABQAAAAIAIdO4kAt+KddvgEAAHgDAAAOAAAAAAAAAAEAIAAAACYBAABkcnMvZTJvRG9jLnht&#10;bFBLBQYAAAAABgAGAFkBAABWBQ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- 35 -</w:t>
                      </w:r>
                    </w:p>
                  </w:txbxContent>
                </v:textbox>
              </v:shape>
            </w:pict>
          </mc:Fallback>
        </mc:AlternateContent>
      </w:r>
      <w:r>
        <w:rPr>
          <w:rFonts w:hint="default" w:ascii="Times New Roman" w:hAnsi="Times New Roman" w:eastAsia="仿宋_GB2312" w:cs="Times New Roman"/>
          <w:sz w:val="32"/>
          <w:szCs w:val="32"/>
        </w:rPr>
        <w:t>（共</w:t>
      </w:r>
      <w:r>
        <w:rPr>
          <w:rFonts w:hint="default" w:ascii="Times New Roman" w:hAnsi="Times New Roman" w:eastAsia="仿宋_GB2312" w:cs="Times New Roman"/>
          <w:sz w:val="32"/>
          <w:szCs w:val="32"/>
          <w:lang w:val="en-US" w:eastAsia="zh-CN"/>
        </w:rPr>
        <w:t>130</w:t>
      </w:r>
      <w:r>
        <w:rPr>
          <w:rFonts w:hint="default" w:ascii="Times New Roman" w:hAnsi="Times New Roman" w:eastAsia="仿宋_GB2312" w:cs="Times New Roman"/>
          <w:sz w:val="32"/>
          <w:szCs w:val="32"/>
        </w:rPr>
        <w:t>份）</w:t>
      </w:r>
    </w:p>
    <w:sectPr>
      <w:pgSz w:w="11906" w:h="16838"/>
      <w:pgMar w:top="2098" w:right="1474" w:bottom="1701" w:left="1587" w:header="851" w:footer="992" w:gutter="0"/>
      <w:pgNumType w:fmt="numberInDash" w:start="2"/>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_GBK">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1"/>
      </w:rPr>
      <mc:AlternateContent>
        <mc:Choice Requires="wps">
          <w:drawing>
            <wp:anchor distT="0" distB="0" distL="114300" distR="114300" simplePos="0" relativeHeight="251665408" behindDoc="0" locked="0" layoutInCell="1" allowOverlap="1">
              <wp:simplePos x="0" y="0"/>
              <wp:positionH relativeFrom="margin">
                <wp:posOffset>7950835</wp:posOffset>
              </wp:positionH>
              <wp:positionV relativeFrom="paragraph">
                <wp:posOffset>-314325</wp:posOffset>
              </wp:positionV>
              <wp:extent cx="807085" cy="4540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807085" cy="454025"/>
                      </a:xfrm>
                      <a:prstGeom prst="rect">
                        <a:avLst/>
                      </a:prstGeom>
                      <a:noFill/>
                      <a:ln>
                        <a:noFill/>
                      </a:ln>
                    </wps:spPr>
                    <wps:txbx>
                      <w:txbxContent>
                        <w:p>
                          <w:pPr>
                            <w:pStyle w:val="5"/>
                            <w:ind w:firstLine="280" w:firstLineChars="1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left:626.05pt;margin-top:-24.75pt;height:35.75pt;width:63.55pt;mso-position-horizontal-relative:margin;z-index:251665408;mso-width-relative:page;mso-height-relative:page;" filled="f" stroked="f" coordsize="21600,21600" o:gfxdata="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90TOdoAAAAMAQAADwAAAAAAAAABACAAAAAiAAAAZHJzL2Rvd25yZXYueG1sUEsB&#10;AhQAFAAAAAgAh07iQJCIWxi6AQAAcwMAAA4AAAAAAAAAAQAgAAAAKQEAAGRycy9lMm9Eb2MueG1s&#10;UEsFBgAAAAAGAAYAWQEAAFUFAAAAAA==&#10;">
              <v:fill on="f" focussize="0,0"/>
              <v:stroke on="f"/>
              <v:imagedata o:title=""/>
              <o:lock v:ext="edit" aspectratio="f"/>
              <v:textbox inset="0mm,0mm,0mm,0mm">
                <w:txbxContent>
                  <w:p>
                    <w:pPr>
                      <w:pStyle w:val="5"/>
                      <w:ind w:firstLine="280" w:firstLineChars="1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2607945</wp:posOffset>
              </wp:positionH>
              <wp:positionV relativeFrom="paragraph">
                <wp:posOffset>-142240</wp:posOffset>
              </wp:positionV>
              <wp:extent cx="809625" cy="290195"/>
              <wp:effectExtent l="0" t="0" r="0" b="0"/>
              <wp:wrapNone/>
              <wp:docPr id="8" name="文本框 8"/>
              <wp:cNvGraphicFramePr/>
              <a:graphic xmlns:a="http://schemas.openxmlformats.org/drawingml/2006/main">
                <a:graphicData uri="http://schemas.microsoft.com/office/word/2010/wordprocessingShape">
                  <wps:wsp>
                    <wps:cNvSpPr txBox="1"/>
                    <wps:spPr>
                      <a:xfrm>
                        <a:off x="0" y="0"/>
                        <a:ext cx="809625" cy="290195"/>
                      </a:xfrm>
                      <a:prstGeom prst="rect">
                        <a:avLst/>
                      </a:prstGeom>
                      <a:noFill/>
                      <a:ln>
                        <a:noFill/>
                      </a:ln>
                    </wps:spPr>
                    <wps:txbx>
                      <w:txbxContent>
                        <w:p>
                          <w:pPr>
                            <w:pStyle w:val="5"/>
                            <w:rPr>
                              <w:rFonts w:hint="eastAsia"/>
                            </w:rPr>
                          </w:pPr>
                        </w:p>
                      </w:txbxContent>
                    </wps:txbx>
                    <wps:bodyPr lIns="0" tIns="0" rIns="0" bIns="0" upright="0"/>
                  </wps:wsp>
                </a:graphicData>
              </a:graphic>
            </wp:anchor>
          </w:drawing>
        </mc:Choice>
        <mc:Fallback>
          <w:pict>
            <v:shape id="_x0000_s1026" o:spid="_x0000_s1026" o:spt="202" type="#_x0000_t202" style="position:absolute;left:0pt;margin-left:205.35pt;margin-top:-11.2pt;height:22.85pt;width:63.75pt;mso-position-horizontal-relative:margin;z-index:251664384;mso-width-relative:page;mso-height-relative:page;" filled="f" stroked="f" coordsize="21600,21600" o:gfxdata="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c9isNoAAAAKAQAADwAAAAAAAAABACAAAAAiAAAAZHJzL2Rvd25yZXYueG1sUEsB&#10;AhQAFAAAAAgAh07iQHsf3NK6AQAAcQMAAA4AAAAAAAAAAQAgAAAAKQEAAGRycy9lMm9Eb2MueG1s&#10;UEsFBgAAAAAGAAYAWQEAAFUFAAAAAA==&#10;">
              <v:fill on="f" focussize="0,0"/>
              <v:stroke on="f"/>
              <v:imagedata o:title=""/>
              <o:lock v:ext="edit" aspectratio="f"/>
              <v:textbox inset="0mm,0mm,0mm,0mm">
                <w:txbxContent>
                  <w:p>
                    <w:pPr>
                      <w:pStyle w:val="5"/>
                      <w:rPr>
                        <w:rFonts w:hint="eastAsia"/>
                      </w:rPr>
                    </w:pP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5862320</wp:posOffset>
              </wp:positionH>
              <wp:positionV relativeFrom="page">
                <wp:posOffset>9528810</wp:posOffset>
              </wp:positionV>
              <wp:extent cx="729615" cy="1689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56285" cy="203200"/>
                      </a:xfrm>
                      <a:prstGeom prst="rect">
                        <a:avLst/>
                      </a:prstGeom>
                      <a:noFill/>
                      <a:ln>
                        <a:noFill/>
                      </a:ln>
                      <a:effectLst/>
                    </wps:spPr>
                    <wps:txbx>
                      <w:txbxContent>
                        <w:p>
                          <w:pPr>
                            <w:spacing w:line="306" w:lineRule="exact"/>
                            <w:ind w:left="20"/>
                            <w:jc w:val="left"/>
                            <w:rPr>
                              <w:rFonts w:ascii="宋体" w:hAnsi="宋体" w:cs="宋体"/>
                              <w:sz w:val="15"/>
                              <w:szCs w:val="15"/>
                            </w:rPr>
                          </w:pPr>
                        </w:p>
                      </w:txbxContent>
                    </wps:txbx>
                    <wps:bodyPr lIns="0" tIns="0" rIns="0" bIns="0" upright="1"/>
                  </wps:wsp>
                </a:graphicData>
              </a:graphic>
            </wp:anchor>
          </w:drawing>
        </mc:Choice>
        <mc:Fallback>
          <w:pict>
            <v:shape id="_x0000_s1026" o:spid="_x0000_s1026" o:spt="202" type="#_x0000_t202" style="position:absolute;left:0pt;margin-left:461.6pt;margin-top:750.3pt;height:13.3pt;width:57.45pt;mso-position-horizontal-relative:page;mso-position-vertical-relative:page;z-index:-251656192;mso-width-relative:page;mso-height-relative:page;" filled="f" stroked="f" coordsize="21600,21600" o:gfxdata="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nMe6NkAAAAOAQAADwAAAAAAAAABACAAAAAiAAAAZHJzL2Rvd25yZXYueG1s&#10;UEsBAhQAFAAAAAgAh07iQA645U6+AQAAfwMAAA4AAAAAAAAAAQAgAAAAKAEAAGRycy9lMm9Eb2Mu&#10;eG1sUEsFBgAAAAAGAAYAWQEAAFgFAAAAAA==&#10;">
              <v:fill on="f" focussize="0,0"/>
              <v:stroke on="f"/>
              <v:imagedata o:title=""/>
              <o:lock v:ext="edit" aspectratio="f"/>
              <v:textbox inset="0mm,0mm,0mm,0mm">
                <w:txbxContent>
                  <w:p>
                    <w:pPr>
                      <w:spacing w:line="306" w:lineRule="exact"/>
                      <w:ind w:left="20"/>
                      <w:jc w:val="left"/>
                      <w:rPr>
                        <w:rFonts w:ascii="宋体" w:hAnsi="宋体" w:cs="宋体"/>
                        <w:sz w:val="15"/>
                        <w:szCs w:val="15"/>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2336" behindDoc="0" locked="0" layoutInCell="1" allowOverlap="1">
              <wp:simplePos x="0" y="0"/>
              <wp:positionH relativeFrom="margin">
                <wp:posOffset>7952740</wp:posOffset>
              </wp:positionH>
              <wp:positionV relativeFrom="paragraph">
                <wp:posOffset>-304800</wp:posOffset>
              </wp:positionV>
              <wp:extent cx="786130" cy="39624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786130" cy="396240"/>
                      </a:xfrm>
                      <a:prstGeom prst="rect">
                        <a:avLst/>
                      </a:prstGeom>
                      <a:noFill/>
                      <a:ln>
                        <a:noFill/>
                      </a:ln>
                    </wps:spPr>
                    <wps:txbx>
                      <w:txbxContent>
                        <w:p>
                          <w:pPr>
                            <w:spacing w:line="296" w:lineRule="exact"/>
                            <w:ind w:left="20"/>
                            <w:jc w:val="left"/>
                            <w:rPr>
                              <w:rFonts w:ascii="宋体" w:hAnsi="宋体" w:cs="宋体"/>
                              <w:sz w:val="15"/>
                              <w:szCs w:val="15"/>
                            </w:rPr>
                          </w:pPr>
                          <w:r>
                            <w:rPr>
                              <w:rFonts w:hint="eastAsia" w:ascii="宋体" w:hAnsi="宋体" w:eastAsia="宋体" w:cs="宋体"/>
                              <w:color w:val="3B3B3B"/>
                              <w:spacing w:val="-197"/>
                              <w:w w:val="375"/>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color w:val="3B3B3B"/>
                              <w:w w:val="135"/>
                              <w:sz w:val="28"/>
                              <w:szCs w:val="28"/>
                            </w:rPr>
                            <w:instrText xml:space="preserve"> PAGE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color w:val="565656"/>
                              <w:sz w:val="28"/>
                              <w:szCs w:val="28"/>
                            </w:rPr>
                            <w:t xml:space="preserve"> </w:t>
                          </w:r>
                          <w:r>
                            <w:rPr>
                              <w:rFonts w:ascii="Times New Roman" w:hAnsi="Times New Roman" w:eastAsia="Times New Roman"/>
                              <w:color w:val="565656"/>
                              <w:spacing w:val="1"/>
                              <w:sz w:val="27"/>
                              <w:szCs w:val="27"/>
                            </w:rPr>
                            <w:t xml:space="preserve"> </w:t>
                          </w:r>
                        </w:p>
                      </w:txbxContent>
                    </wps:txbx>
                    <wps:bodyPr lIns="0" tIns="0" rIns="0" bIns="0" upright="1"/>
                  </wps:wsp>
                </a:graphicData>
              </a:graphic>
            </wp:anchor>
          </w:drawing>
        </mc:Choice>
        <mc:Fallback>
          <w:pict>
            <v:shape id="_x0000_s1026" o:spid="_x0000_s1026" o:spt="202" type="#_x0000_t202" style="position:absolute;left:0pt;margin-left:626.2pt;margin-top:-24pt;height:31.2pt;width:61.9pt;mso-position-horizontal-relative:margin;z-index:251662336;mso-width-relative:page;mso-height-relative:page;" filled="f" stroked="f" coordsize="21600,21600" o:gfxdata="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ibVR7aAAAADAEAAA8AAAAAAAAAAQAgAAAAIgAAAGRycy9kb3ducmV2LnhtbFBL&#10;AQIUABQAAAAIAIdO4kDJJgXeuwEAAHMDAAAOAAAAAAAAAAEAIAAAACkBAABkcnMvZTJvRG9jLnht&#10;bFBLBQYAAAAABgAGAFkBAABWBQAAAAA=&#10;">
              <v:fill on="f" focussize="0,0"/>
              <v:stroke on="f"/>
              <v:imagedata o:title=""/>
              <o:lock v:ext="edit" aspectratio="f"/>
              <v:textbox inset="0mm,0mm,0mm,0mm">
                <w:txbxContent>
                  <w:p>
                    <w:pPr>
                      <w:spacing w:line="296" w:lineRule="exact"/>
                      <w:ind w:left="20"/>
                      <w:jc w:val="left"/>
                      <w:rPr>
                        <w:rFonts w:ascii="宋体" w:hAnsi="宋体" w:cs="宋体"/>
                        <w:sz w:val="15"/>
                        <w:szCs w:val="15"/>
                      </w:rPr>
                    </w:pPr>
                    <w:r>
                      <w:rPr>
                        <w:rFonts w:hint="eastAsia" w:ascii="宋体" w:hAnsi="宋体" w:eastAsia="宋体" w:cs="宋体"/>
                        <w:color w:val="3B3B3B"/>
                        <w:spacing w:val="-197"/>
                        <w:w w:val="375"/>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color w:val="3B3B3B"/>
                        <w:w w:val="135"/>
                        <w:sz w:val="28"/>
                        <w:szCs w:val="28"/>
                      </w:rPr>
                      <w:instrText xml:space="preserve"> PAGE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color w:val="565656"/>
                        <w:sz w:val="28"/>
                        <w:szCs w:val="28"/>
                      </w:rPr>
                      <w:t xml:space="preserve"> </w:t>
                    </w:r>
                    <w:r>
                      <w:rPr>
                        <w:rFonts w:ascii="Times New Roman" w:hAnsi="Times New Roman" w:eastAsia="Times New Roman"/>
                        <w:color w:val="565656"/>
                        <w:spacing w:val="1"/>
                        <w:sz w:val="27"/>
                        <w:szCs w:val="27"/>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6432" behindDoc="0" locked="0" layoutInCell="1" allowOverlap="1">
              <wp:simplePos x="0" y="0"/>
              <wp:positionH relativeFrom="margin">
                <wp:posOffset>8093075</wp:posOffset>
              </wp:positionH>
              <wp:positionV relativeFrom="paragraph">
                <wp:posOffset>-314325</wp:posOffset>
              </wp:positionV>
              <wp:extent cx="655320" cy="454025"/>
              <wp:effectExtent l="0" t="0" r="0" b="0"/>
              <wp:wrapNone/>
              <wp:docPr id="9" name="文本框 9"/>
              <wp:cNvGraphicFramePr/>
              <a:graphic xmlns:a="http://schemas.openxmlformats.org/drawingml/2006/main">
                <a:graphicData uri="http://schemas.microsoft.com/office/word/2010/wordprocessingShape">
                  <wps:wsp>
                    <wps:cNvSpPr txBox="1"/>
                    <wps:spPr>
                      <a:xfrm>
                        <a:off x="0" y="0"/>
                        <a:ext cx="655320" cy="454025"/>
                      </a:xfrm>
                      <a:prstGeom prst="rect">
                        <a:avLst/>
                      </a:prstGeom>
                      <a:noFill/>
                      <a:ln>
                        <a:noFill/>
                      </a:ln>
                    </wps:spPr>
                    <wps:txbx>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left:637.25pt;margin-top:-24.75pt;height:35.75pt;width:51.6pt;mso-position-horizontal-relative:margin;z-index:251666432;mso-width-relative:page;mso-height-relative:page;" filled="f" stroked="f" coordsize="21600,21600" o:gfxdata="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8eezdoAAAAMAQAADwAAAAAAAAABACAAAAAiAAAAZHJzL2Rvd25yZXYueG1sUEsB&#10;AhQAFAAAAAgAh07iQOr4F/O6AQAAcQMAAA4AAAAAAAAAAQAgAAAAKQEAAGRycy9lMm9Eb2MueG1s&#10;UEsFBgAAAAAGAAYAWQEAAFUFAAAAAA==&#10;">
              <v:fill on="f" focussize="0,0"/>
              <v:stroke on="f"/>
              <v:imagedata o:title=""/>
              <o:lock v:ext="edit" aspectratio="f"/>
              <v:textbox inset="0mm,0mm,0mm,0mm">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7D638C"/>
    <w:multiLevelType w:val="singleLevel"/>
    <w:tmpl w:val="F47D638C"/>
    <w:lvl w:ilvl="0" w:tentative="0">
      <w:start w:val="1"/>
      <w:numFmt w:val="decimal"/>
      <w:lvlText w:val="%1"/>
      <w:lvlJc w:val="left"/>
      <w:pPr>
        <w:tabs>
          <w:tab w:val="left" w:pos="397"/>
        </w:tabs>
        <w:ind w:left="454" w:leftChars="0" w:hanging="454"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jNmQzMWFiNzc1YzAyYzIzMjQzYmVlMzNjNzE4MDYifQ=="/>
  </w:docVars>
  <w:rsids>
    <w:rsidRoot w:val="00000000"/>
    <w:rsid w:val="02483EF8"/>
    <w:rsid w:val="15A245CF"/>
    <w:rsid w:val="172F3157"/>
    <w:rsid w:val="1ACF52BE"/>
    <w:rsid w:val="1EA140CF"/>
    <w:rsid w:val="1F0B054B"/>
    <w:rsid w:val="23A9058F"/>
    <w:rsid w:val="26EA1FFE"/>
    <w:rsid w:val="29A50C45"/>
    <w:rsid w:val="2B6F2364"/>
    <w:rsid w:val="2E572F0C"/>
    <w:rsid w:val="32545C8D"/>
    <w:rsid w:val="3649553F"/>
    <w:rsid w:val="36582809"/>
    <w:rsid w:val="37467C47"/>
    <w:rsid w:val="3B5B40BD"/>
    <w:rsid w:val="40683A39"/>
    <w:rsid w:val="441E2090"/>
    <w:rsid w:val="44BC48A6"/>
    <w:rsid w:val="459829E7"/>
    <w:rsid w:val="49427081"/>
    <w:rsid w:val="499B4DE9"/>
    <w:rsid w:val="4A2A2D4F"/>
    <w:rsid w:val="4C20318E"/>
    <w:rsid w:val="5103236A"/>
    <w:rsid w:val="513B6EA2"/>
    <w:rsid w:val="52D047E3"/>
    <w:rsid w:val="54927CE0"/>
    <w:rsid w:val="55303138"/>
    <w:rsid w:val="565C15FA"/>
    <w:rsid w:val="5A0947A8"/>
    <w:rsid w:val="5CFD65E9"/>
    <w:rsid w:val="614C408B"/>
    <w:rsid w:val="63B62341"/>
    <w:rsid w:val="64590E8A"/>
    <w:rsid w:val="677E638D"/>
    <w:rsid w:val="6FCB6C5A"/>
    <w:rsid w:val="70091297"/>
    <w:rsid w:val="72536411"/>
    <w:rsid w:val="7EDA3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21"/>
      <w:szCs w:val="21"/>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pPr>
    <w:rPr>
      <w:rFonts w:ascii="Times New Roman" w:hAnsi="Times New Roman" w:eastAsia="宋体"/>
    </w:rPr>
  </w:style>
  <w:style w:type="paragraph" w:styleId="4">
    <w:name w:val="toc 3"/>
    <w:basedOn w:val="1"/>
    <w:next w:val="1"/>
    <w:unhideWhenUsed/>
    <w:qFormat/>
    <w:uiPriority w:val="39"/>
    <w:pPr>
      <w:ind w:left="840" w:leftChars="400"/>
    </w:pPr>
  </w:style>
  <w:style w:type="paragraph" w:styleId="5">
    <w:name w:val="footer"/>
    <w:basedOn w:val="1"/>
    <w:uiPriority w:val="0"/>
    <w:pPr>
      <w:tabs>
        <w:tab w:val="center" w:pos="4153"/>
        <w:tab w:val="right" w:pos="8306"/>
      </w:tabs>
      <w:snapToGrid w:val="0"/>
      <w:jc w:val="left"/>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FollowedHyperlink"/>
    <w:basedOn w:val="8"/>
    <w:qFormat/>
    <w:uiPriority w:val="0"/>
    <w:rPr>
      <w:color w:val="000000"/>
      <w:u w:val="none"/>
    </w:rPr>
  </w:style>
  <w:style w:type="character" w:styleId="10">
    <w:name w:val="Emphasis"/>
    <w:basedOn w:val="8"/>
    <w:qFormat/>
    <w:uiPriority w:val="0"/>
  </w:style>
  <w:style w:type="character" w:styleId="11">
    <w:name w:val="Hyperlink"/>
    <w:basedOn w:val="8"/>
    <w:qFormat/>
    <w:uiPriority w:val="0"/>
    <w:rPr>
      <w:color w:val="000000"/>
      <w:u w:val="none"/>
    </w:rPr>
  </w:style>
  <w:style w:type="character" w:styleId="12">
    <w:name w:val="HTML Code"/>
    <w:basedOn w:val="8"/>
    <w:qFormat/>
    <w:uiPriority w:val="0"/>
    <w:rPr>
      <w:rFonts w:ascii="Courier New" w:hAnsi="Courier New"/>
      <w:sz w:val="20"/>
    </w:rPr>
  </w:style>
  <w:style w:type="character" w:styleId="13">
    <w:name w:val="HTML Cite"/>
    <w:basedOn w:val="8"/>
    <w:qFormat/>
    <w:uiPriority w:val="0"/>
  </w:style>
  <w:style w:type="character" w:customStyle="1" w:styleId="14">
    <w:name w:val="hover7"/>
    <w:basedOn w:val="8"/>
    <w:qFormat/>
    <w:uiPriority w:val="0"/>
    <w:rPr>
      <w:color w:val="FFFFFF"/>
    </w:rPr>
  </w:style>
  <w:style w:type="character" w:customStyle="1" w:styleId="15">
    <w:name w:val="active"/>
    <w:basedOn w:val="8"/>
    <w:qFormat/>
    <w:uiPriority w:val="0"/>
    <w:rPr>
      <w:color w:val="FFFFFF"/>
    </w:rPr>
  </w:style>
  <w:style w:type="character" w:customStyle="1" w:styleId="16">
    <w:name w:val="page_prev"/>
    <w:basedOn w:val="8"/>
    <w:qFormat/>
    <w:uiPriority w:val="0"/>
  </w:style>
  <w:style w:type="character" w:customStyle="1" w:styleId="17">
    <w:name w:val="page_next"/>
    <w:basedOn w:val="8"/>
    <w:qFormat/>
    <w:uiPriority w:val="0"/>
  </w:style>
  <w:style w:type="character" w:customStyle="1" w:styleId="18">
    <w:name w:val="hover6"/>
    <w:basedOn w:val="8"/>
    <w:qFormat/>
    <w:uiPriority w:val="0"/>
    <w:rPr>
      <w:color w:val="FFFFFF"/>
    </w:rPr>
  </w:style>
  <w:style w:type="character" w:customStyle="1" w:styleId="19">
    <w:name w:val="icon31"/>
    <w:basedOn w:val="8"/>
    <w:qFormat/>
    <w:uiPriority w:val="0"/>
  </w:style>
  <w:style w:type="character" w:customStyle="1" w:styleId="20">
    <w:name w:val="icon11"/>
    <w:basedOn w:val="8"/>
    <w:qFormat/>
    <w:uiPriority w:val="0"/>
  </w:style>
  <w:style w:type="character" w:customStyle="1" w:styleId="21">
    <w:name w:val="icon21"/>
    <w:basedOn w:val="8"/>
    <w:qFormat/>
    <w:uiPriority w:val="0"/>
  </w:style>
  <w:style w:type="character" w:customStyle="1" w:styleId="22">
    <w:name w:val="icon5"/>
    <w:basedOn w:val="8"/>
    <w:qFormat/>
    <w:uiPriority w:val="0"/>
  </w:style>
  <w:style w:type="character" w:customStyle="1" w:styleId="23">
    <w:name w:val="icon41"/>
    <w:basedOn w:val="8"/>
    <w:qFormat/>
    <w:uiPriority w:val="0"/>
  </w:style>
  <w:style w:type="character" w:customStyle="1" w:styleId="24">
    <w:name w:val="line"/>
    <w:basedOn w:val="8"/>
    <w:qFormat/>
    <w:uiPriority w:val="0"/>
  </w:style>
  <w:style w:type="character" w:customStyle="1" w:styleId="25">
    <w:name w:val="font31"/>
    <w:basedOn w:val="8"/>
    <w:qFormat/>
    <w:uiPriority w:val="0"/>
    <w:rPr>
      <w:rFonts w:hint="eastAsia" w:ascii="方正大标宋_GBK" w:hAnsi="方正大标宋_GBK" w:eastAsia="方正大标宋_GBK" w:cs="方正大标宋_GBK"/>
      <w:color w:val="000000"/>
      <w:sz w:val="44"/>
      <w:szCs w:val="44"/>
      <w:u w:val="none"/>
    </w:rPr>
  </w:style>
  <w:style w:type="character" w:customStyle="1" w:styleId="26">
    <w:name w:val="font131"/>
    <w:basedOn w:val="8"/>
    <w:qFormat/>
    <w:uiPriority w:val="0"/>
    <w:rPr>
      <w:rFonts w:hint="default" w:ascii="Times New Roman" w:hAnsi="Times New Roman" w:cs="Times New Roman"/>
      <w:color w:val="000000"/>
      <w:sz w:val="44"/>
      <w:szCs w:val="44"/>
      <w:u w:val="none"/>
    </w:rPr>
  </w:style>
  <w:style w:type="character" w:customStyle="1" w:styleId="27">
    <w:name w:val="font141"/>
    <w:basedOn w:val="8"/>
    <w:qFormat/>
    <w:uiPriority w:val="0"/>
    <w:rPr>
      <w:rFonts w:hint="eastAsia" w:ascii="黑体" w:hAnsi="宋体" w:eastAsia="黑体" w:cs="黑体"/>
      <w:color w:val="000000"/>
      <w:sz w:val="22"/>
      <w:szCs w:val="22"/>
      <w:u w:val="none"/>
    </w:rPr>
  </w:style>
  <w:style w:type="character" w:customStyle="1" w:styleId="28">
    <w:name w:val="font21"/>
    <w:basedOn w:val="8"/>
    <w:qFormat/>
    <w:uiPriority w:val="0"/>
    <w:rPr>
      <w:rFonts w:hint="default" w:ascii="Times New Roman" w:hAnsi="Times New Roman" w:cs="Times New Roman"/>
      <w:color w:val="000000"/>
      <w:sz w:val="22"/>
      <w:szCs w:val="22"/>
      <w:u w:val="none"/>
    </w:rPr>
  </w:style>
  <w:style w:type="character" w:customStyle="1" w:styleId="29">
    <w:name w:val="font41"/>
    <w:basedOn w:val="8"/>
    <w:qFormat/>
    <w:uiPriority w:val="0"/>
    <w:rPr>
      <w:rFonts w:hint="eastAsia" w:ascii="仿宋_GB2312" w:eastAsia="仿宋_GB2312" w:cs="仿宋_GB2312"/>
      <w:color w:val="000000"/>
      <w:sz w:val="22"/>
      <w:szCs w:val="22"/>
      <w:u w:val="none"/>
    </w:rPr>
  </w:style>
  <w:style w:type="character" w:customStyle="1" w:styleId="30">
    <w:name w:val="font01"/>
    <w:basedOn w:val="8"/>
    <w:qFormat/>
    <w:uiPriority w:val="0"/>
    <w:rPr>
      <w:rFonts w:hint="eastAsia" w:ascii="宋体" w:hAnsi="宋体" w:eastAsia="宋体" w:cs="宋体"/>
      <w:color w:val="000000"/>
      <w:sz w:val="22"/>
      <w:szCs w:val="22"/>
      <w:u w:val="none"/>
    </w:rPr>
  </w:style>
  <w:style w:type="character" w:customStyle="1" w:styleId="31">
    <w:name w:val="font101"/>
    <w:basedOn w:val="8"/>
    <w:qFormat/>
    <w:uiPriority w:val="0"/>
    <w:rPr>
      <w:rFonts w:hint="eastAsia" w:ascii="仿宋_GB2312" w:eastAsia="仿宋_GB2312" w:cs="仿宋_GB2312"/>
      <w:color w:val="000000"/>
      <w:sz w:val="24"/>
      <w:szCs w:val="24"/>
      <w:u w:val="none"/>
    </w:rPr>
  </w:style>
  <w:style w:type="character" w:customStyle="1" w:styleId="32">
    <w:name w:val="font91"/>
    <w:basedOn w:val="8"/>
    <w:qFormat/>
    <w:uiPriority w:val="0"/>
    <w:rPr>
      <w:rFonts w:hint="default" w:ascii="Nimbus Roman No9 L" w:hAnsi="Nimbus Roman No9 L" w:eastAsia="Nimbus Roman No9 L" w:cs="Nimbus Roman No9 L"/>
      <w:color w:val="000000"/>
      <w:sz w:val="24"/>
      <w:szCs w:val="24"/>
      <w:u w:val="none"/>
    </w:rPr>
  </w:style>
  <w:style w:type="paragraph" w:customStyle="1" w:styleId="3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15552</Words>
  <Characters>15946</Characters>
  <Lines>0</Lines>
  <Paragraphs>0</Paragraphs>
  <TotalTime>46</TotalTime>
  <ScaleCrop>false</ScaleCrop>
  <LinksUpToDate>false</LinksUpToDate>
  <CharactersWithSpaces>16048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2022-08-30T09:43:00Z</dcterms:created>
  <dc:creator>Administrator</dc:creator>
  <cp:lastModifiedBy>Administrator</cp:lastModifiedBy>
  <cp:lastPrinted>2022-11-02T02:09:00Z</cp:lastPrinted>
  <dcterms:modified xsi:type="dcterms:W3CDTF">2022-11-16T03:04:40Z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86A3140322FC4A16A0F74AD8F40A3389</vt:lpwstr>
  </property>
</Properties>
</file>