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b/>
          <w:sz w:val="36"/>
          <w:szCs w:val="36"/>
        </w:rPr>
      </w:pPr>
      <w:r>
        <w:rPr>
          <w:rFonts w:hint="eastAsia" w:ascii="黑体" w:hAnsi="黑体" w:eastAsia="黑体"/>
          <w:b/>
          <w:sz w:val="36"/>
          <w:szCs w:val="36"/>
        </w:rPr>
        <w:t>常宁</w:t>
      </w:r>
      <w:r>
        <w:rPr>
          <w:rFonts w:hint="eastAsia" w:ascii="黑体" w:hAnsi="黑体" w:eastAsia="黑体"/>
          <w:b/>
          <w:sz w:val="36"/>
          <w:szCs w:val="36"/>
          <w:lang w:eastAsia="zh-CN"/>
        </w:rPr>
        <w:t>市</w:t>
      </w:r>
      <w:r>
        <w:rPr>
          <w:rFonts w:hint="eastAsia" w:ascii="黑体" w:hAnsi="黑体" w:eastAsia="黑体"/>
          <w:b/>
          <w:sz w:val="36"/>
          <w:szCs w:val="36"/>
        </w:rPr>
        <w:t>乡镇财政服务中心202</w:t>
      </w:r>
      <w:r>
        <w:rPr>
          <w:rFonts w:hint="eastAsia" w:ascii="黑体" w:hAnsi="黑体" w:eastAsia="黑体"/>
          <w:b/>
          <w:sz w:val="36"/>
          <w:szCs w:val="36"/>
          <w:lang w:val="en-US" w:eastAsia="zh-CN"/>
        </w:rPr>
        <w:t>2</w:t>
      </w:r>
      <w:r>
        <w:rPr>
          <w:rFonts w:hint="eastAsia" w:ascii="黑体" w:hAnsi="黑体" w:eastAsia="黑体"/>
          <w:b/>
          <w:sz w:val="36"/>
          <w:szCs w:val="36"/>
        </w:rPr>
        <w:t>年部门整体支出</w:t>
      </w:r>
    </w:p>
    <w:p>
      <w:pPr>
        <w:adjustRightInd w:val="0"/>
        <w:snapToGrid w:val="0"/>
        <w:spacing w:line="360" w:lineRule="auto"/>
        <w:jc w:val="center"/>
        <w:rPr>
          <w:rFonts w:ascii="黑体" w:hAnsi="黑体" w:eastAsia="黑体"/>
          <w:b/>
          <w:sz w:val="36"/>
          <w:szCs w:val="36"/>
        </w:rPr>
      </w:pPr>
      <w:r>
        <w:rPr>
          <w:rFonts w:hint="eastAsia" w:ascii="黑体" w:hAnsi="黑体" w:eastAsia="黑体"/>
          <w:b/>
          <w:sz w:val="36"/>
          <w:szCs w:val="36"/>
        </w:rPr>
        <w:t>绩效评价报告</w:t>
      </w:r>
    </w:p>
    <w:p>
      <w:pPr>
        <w:adjustRightInd w:val="0"/>
        <w:snapToGrid w:val="0"/>
        <w:spacing w:line="360" w:lineRule="auto"/>
        <w:rPr>
          <w:rFonts w:ascii="楷体" w:hAnsi="楷体" w:eastAsia="楷体"/>
          <w:b/>
          <w:sz w:val="32"/>
          <w:szCs w:val="32"/>
        </w:rPr>
      </w:pPr>
    </w:p>
    <w:p>
      <w:pPr>
        <w:adjustRightInd w:val="0"/>
        <w:snapToGrid w:val="0"/>
        <w:spacing w:line="360" w:lineRule="auto"/>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第一部分</w:t>
      </w:r>
      <w:r>
        <w:rPr>
          <w:rFonts w:hint="eastAsia" w:asciiTheme="majorEastAsia" w:hAnsiTheme="majorEastAsia" w:eastAsiaTheme="majorEastAsia"/>
          <w:b/>
          <w:sz w:val="32"/>
          <w:szCs w:val="32"/>
          <w:lang w:val="en-US" w:eastAsia="zh-CN"/>
        </w:rPr>
        <w:t xml:space="preserve"> </w:t>
      </w:r>
      <w:r>
        <w:rPr>
          <w:rFonts w:hint="eastAsia" w:asciiTheme="majorEastAsia" w:hAnsiTheme="majorEastAsia" w:eastAsiaTheme="majorEastAsia"/>
          <w:b/>
          <w:sz w:val="32"/>
          <w:szCs w:val="32"/>
        </w:rPr>
        <w:t>常宁市乡镇财政服务中心概况</w:t>
      </w:r>
    </w:p>
    <w:p>
      <w:pPr>
        <w:adjustRightInd w:val="0"/>
        <w:snapToGrid w:val="0"/>
        <w:spacing w:line="360" w:lineRule="auto"/>
        <w:rPr>
          <w:rFonts w:asciiTheme="majorEastAsia" w:hAnsiTheme="majorEastAsia" w:eastAsiaTheme="majorEastAsia"/>
          <w:b/>
          <w:sz w:val="32"/>
          <w:szCs w:val="32"/>
        </w:rPr>
      </w:pPr>
      <w:r>
        <w:rPr>
          <w:rFonts w:hint="eastAsia" w:ascii="楷体" w:hAnsi="楷体" w:eastAsia="楷体"/>
          <w:sz w:val="32"/>
          <w:szCs w:val="32"/>
        </w:rPr>
        <w:t>　</w:t>
      </w:r>
      <w:r>
        <w:rPr>
          <w:rFonts w:hint="eastAsia" w:asciiTheme="majorEastAsia" w:hAnsiTheme="majorEastAsia" w:eastAsiaTheme="majorEastAsia"/>
          <w:b/>
          <w:sz w:val="32"/>
          <w:szCs w:val="32"/>
        </w:rPr>
        <w:t>　一、单位主要职能</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（一）负责研究提出乡镇财政管理的政策和办法。</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（二）负责乡镇财政管理工作，指导乡镇财政加强对财政性资金的监督管理和财政资金绩效评价工作。</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（三）负责村级组织运转经费管理、村级公共服务运行维护机制建设等工作。</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（四）负责指导乡镇债权债务管理和乡镇债务的化解工作。配合有关部门做好村级债务管理和化解工作，以及指导乡镇及村及财务管理、村级会计委托代理服务工作。</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（五）负责组织惠民惠农补贴政策的贯彻落实，负责惠民惠农补贴“一卡通”发放工作;</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（六）负责指导和审核乡镇编制年度财政综合预算及决算，监督检查乡镇财政收支执行情况；负责乡镇票据的管理和发放；</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（七）负责审核乡镇项目；录入并审核乡镇指标；审核乡镇预算内资金支付申请；</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（八）指导和监督乡镇会计核算业务，审核乡镇收支原始凭证和会计报表；</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（九）负责乡镇财政管理信息化建设及乡镇财政干部业务培训工作；</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（十）负责全市各乡镇（办事处）财政财务管理工作的考核评比；</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（十一）完成上级财政部门交办的其他任务。</w:t>
      </w:r>
    </w:p>
    <w:p>
      <w:pPr>
        <w:ind w:firstLine="729" w:firstLineChars="228"/>
        <w:rPr>
          <w:rFonts w:hint="eastAsia" w:asciiTheme="minorEastAsia" w:hAnsiTheme="minorEastAsia" w:eastAsiaTheme="minorEastAsia"/>
          <w:sz w:val="32"/>
          <w:szCs w:val="32"/>
          <w:lang w:val="en-US" w:eastAsia="zh-CN"/>
        </w:rPr>
      </w:pPr>
    </w:p>
    <w:p>
      <w:pPr>
        <w:adjustRightInd w:val="0"/>
        <w:snapToGrid w:val="0"/>
        <w:spacing w:line="360" w:lineRule="auto"/>
        <w:ind w:firstLine="645"/>
        <w:rPr>
          <w:rFonts w:asciiTheme="majorEastAsia" w:hAnsiTheme="majorEastAsia" w:eastAsiaTheme="majorEastAsia"/>
          <w:b/>
          <w:sz w:val="32"/>
          <w:szCs w:val="32"/>
        </w:rPr>
      </w:pPr>
      <w:r>
        <w:rPr>
          <w:rFonts w:hint="eastAsia" w:asciiTheme="majorEastAsia" w:hAnsiTheme="majorEastAsia" w:eastAsiaTheme="majorEastAsia"/>
          <w:b/>
          <w:sz w:val="32"/>
          <w:szCs w:val="32"/>
        </w:rPr>
        <w:t>二、机构、人员构成</w:t>
      </w:r>
    </w:p>
    <w:p>
      <w:pPr>
        <w:ind w:firstLine="729" w:firstLineChars="228"/>
        <w:rPr>
          <w:rFonts w:asciiTheme="minorEastAsia" w:hAnsiTheme="minorEastAsia" w:eastAsiaTheme="minorEastAsia"/>
          <w:sz w:val="32"/>
          <w:szCs w:val="32"/>
        </w:rPr>
      </w:pPr>
      <w:r>
        <w:rPr>
          <w:rFonts w:hint="eastAsia" w:asciiTheme="minorEastAsia" w:hAnsiTheme="minorEastAsia" w:eastAsiaTheme="minorEastAsia"/>
          <w:sz w:val="32"/>
          <w:szCs w:val="32"/>
        </w:rPr>
        <w:t>常宁市乡镇财政服务中心为常宁市参照公务员管理一级预算单位，在职人员</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人，退休人员3人。下辖财政管理综合股、票据监管股</w:t>
      </w:r>
      <w:r>
        <w:rPr>
          <w:rFonts w:hint="eastAsia" w:asciiTheme="minorEastAsia" w:hAnsiTheme="minorEastAsia" w:eastAsiaTheme="minorEastAsia"/>
          <w:sz w:val="32"/>
          <w:szCs w:val="32"/>
          <w:lang w:eastAsia="zh-CN"/>
        </w:rPr>
        <w:t>、乡财股、补贴发放股</w:t>
      </w:r>
      <w:r>
        <w:rPr>
          <w:rFonts w:hint="eastAsia" w:asciiTheme="minorEastAsia" w:hAnsiTheme="minorEastAsia" w:eastAsiaTheme="minorEastAsia"/>
          <w:sz w:val="32"/>
          <w:szCs w:val="32"/>
        </w:rPr>
        <w:t>。</w:t>
      </w:r>
    </w:p>
    <w:p>
      <w:pPr>
        <w:adjustRightInd w:val="0"/>
        <w:snapToGrid w:val="0"/>
        <w:spacing w:line="360" w:lineRule="auto"/>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第二部分　部门财务情况</w:t>
      </w:r>
    </w:p>
    <w:p>
      <w:pPr>
        <w:adjustRightInd w:val="0"/>
        <w:snapToGrid w:val="0"/>
        <w:spacing w:line="360" w:lineRule="auto"/>
        <w:ind w:firstLine="645"/>
        <w:rPr>
          <w:rFonts w:asciiTheme="majorEastAsia" w:hAnsiTheme="majorEastAsia" w:eastAsiaTheme="majorEastAsia"/>
          <w:b/>
          <w:sz w:val="32"/>
          <w:szCs w:val="32"/>
        </w:rPr>
      </w:pPr>
      <w:r>
        <w:rPr>
          <w:rFonts w:hint="eastAsia" w:asciiTheme="majorEastAsia" w:hAnsiTheme="majorEastAsia" w:eastAsiaTheme="majorEastAsia"/>
          <w:b/>
          <w:sz w:val="32"/>
          <w:szCs w:val="32"/>
        </w:rPr>
        <w:t>一、202</w:t>
      </w:r>
      <w:r>
        <w:rPr>
          <w:rFonts w:hint="eastAsia" w:asciiTheme="majorEastAsia" w:hAnsiTheme="majorEastAsia" w:eastAsiaTheme="majorEastAsia"/>
          <w:b/>
          <w:sz w:val="32"/>
          <w:szCs w:val="32"/>
          <w:lang w:val="en-US" w:eastAsia="zh-CN"/>
        </w:rPr>
        <w:t>2</w:t>
      </w:r>
      <w:r>
        <w:rPr>
          <w:rFonts w:hint="eastAsia" w:asciiTheme="majorEastAsia" w:hAnsiTheme="majorEastAsia" w:eastAsiaTheme="majorEastAsia"/>
          <w:b/>
          <w:sz w:val="32"/>
          <w:szCs w:val="32"/>
        </w:rPr>
        <w:t>年度部门整体收支情况</w:t>
      </w:r>
    </w:p>
    <w:p>
      <w:pPr>
        <w:adjustRightInd w:val="0"/>
        <w:snapToGrid w:val="0"/>
        <w:spacing w:line="360" w:lineRule="auto"/>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年常宁市乡镇财政服务中心总收入</w:t>
      </w:r>
      <w:r>
        <w:rPr>
          <w:rFonts w:hint="eastAsia" w:asciiTheme="minorEastAsia" w:hAnsiTheme="minorEastAsia" w:eastAsiaTheme="minorEastAsia"/>
          <w:sz w:val="32"/>
          <w:szCs w:val="32"/>
          <w:lang w:val="en-US" w:eastAsia="zh-CN"/>
        </w:rPr>
        <w:t>1537.55</w:t>
      </w:r>
      <w:r>
        <w:rPr>
          <w:rFonts w:hint="eastAsia" w:asciiTheme="minorEastAsia" w:hAnsiTheme="minorEastAsia" w:eastAsiaTheme="minorEastAsia"/>
          <w:sz w:val="32"/>
          <w:szCs w:val="32"/>
        </w:rPr>
        <w:t>万元，其中一般公共预算收入</w:t>
      </w:r>
      <w:r>
        <w:rPr>
          <w:rFonts w:hint="eastAsia" w:asciiTheme="minorEastAsia" w:hAnsiTheme="minorEastAsia" w:eastAsiaTheme="minorEastAsia"/>
          <w:sz w:val="32"/>
          <w:szCs w:val="32"/>
          <w:lang w:val="en-US" w:eastAsia="zh-CN"/>
        </w:rPr>
        <w:t>1537.55</w:t>
      </w:r>
      <w:r>
        <w:rPr>
          <w:rFonts w:hint="eastAsia" w:asciiTheme="minorEastAsia" w:hAnsiTheme="minorEastAsia" w:eastAsiaTheme="minorEastAsia"/>
          <w:sz w:val="32"/>
          <w:szCs w:val="32"/>
        </w:rPr>
        <w:t>万元，占全年总收入的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年常宁市乡镇财政服务中心总支出</w:t>
      </w:r>
      <w:r>
        <w:rPr>
          <w:rFonts w:hint="eastAsia" w:asciiTheme="minorEastAsia" w:hAnsiTheme="minorEastAsia" w:eastAsiaTheme="minorEastAsia"/>
          <w:sz w:val="32"/>
          <w:szCs w:val="32"/>
          <w:lang w:val="en-US" w:eastAsia="zh-CN"/>
        </w:rPr>
        <w:t>1537.55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1455.13</w:t>
      </w:r>
      <w:r>
        <w:rPr>
          <w:rFonts w:hint="eastAsia" w:asciiTheme="minorEastAsia" w:hAnsiTheme="minorEastAsia" w:eastAsiaTheme="minorEastAsia"/>
          <w:sz w:val="32"/>
          <w:szCs w:val="32"/>
        </w:rPr>
        <w:t>万元，占全年总支出的</w:t>
      </w:r>
      <w:r>
        <w:rPr>
          <w:rFonts w:hint="eastAsia" w:asciiTheme="minorEastAsia" w:hAnsiTheme="minorEastAsia" w:eastAsiaTheme="minorEastAsia"/>
          <w:sz w:val="32"/>
          <w:szCs w:val="32"/>
          <w:lang w:val="en-US" w:eastAsia="zh-CN"/>
        </w:rPr>
        <w:t>94.64</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82.42</w:t>
      </w:r>
      <w:r>
        <w:rPr>
          <w:rFonts w:hint="eastAsia" w:asciiTheme="minorEastAsia" w:hAnsiTheme="minorEastAsia" w:eastAsiaTheme="minorEastAsia"/>
          <w:sz w:val="32"/>
          <w:szCs w:val="32"/>
        </w:rPr>
        <w:t>万元，占全年总支出的</w:t>
      </w:r>
      <w:r>
        <w:rPr>
          <w:rFonts w:hint="eastAsia" w:asciiTheme="minorEastAsia" w:hAnsiTheme="minorEastAsia" w:eastAsiaTheme="minorEastAsia"/>
          <w:sz w:val="32"/>
          <w:szCs w:val="32"/>
          <w:lang w:val="en-US" w:eastAsia="zh-CN"/>
        </w:rPr>
        <w:t>5.36</w:t>
      </w:r>
      <w:r>
        <w:rPr>
          <w:rFonts w:hint="eastAsia" w:asciiTheme="minorEastAsia" w:hAnsiTheme="minorEastAsia" w:eastAsiaTheme="minorEastAsia"/>
          <w:sz w:val="32"/>
          <w:szCs w:val="32"/>
        </w:rPr>
        <w:t>%。</w:t>
      </w:r>
    </w:p>
    <w:p>
      <w:pPr>
        <w:adjustRightInd w:val="0"/>
        <w:snapToGrid w:val="0"/>
        <w:ind w:firstLine="645"/>
        <w:rPr>
          <w:rFonts w:asciiTheme="majorEastAsia" w:hAnsiTheme="majorEastAsia" w:eastAsiaTheme="majorEastAsia"/>
          <w:b/>
          <w:sz w:val="32"/>
          <w:szCs w:val="32"/>
        </w:rPr>
      </w:pPr>
      <w:r>
        <w:rPr>
          <w:rFonts w:hint="eastAsia" w:asciiTheme="majorEastAsia" w:hAnsiTheme="majorEastAsia" w:eastAsiaTheme="majorEastAsia"/>
          <w:b/>
          <w:sz w:val="32"/>
          <w:szCs w:val="32"/>
        </w:rPr>
        <w:t>二、资金使用与管理情况</w:t>
      </w:r>
    </w:p>
    <w:p>
      <w:pPr>
        <w:ind w:firstLine="729" w:firstLineChars="228"/>
        <w:rPr>
          <w:rFonts w:asciiTheme="minorEastAsia" w:hAnsiTheme="minorEastAsia" w:eastAsiaTheme="minorEastAsia"/>
          <w:sz w:val="32"/>
          <w:szCs w:val="32"/>
        </w:rPr>
      </w:pPr>
      <w:r>
        <w:rPr>
          <w:rFonts w:hint="eastAsia" w:asciiTheme="minorEastAsia" w:hAnsiTheme="minorEastAsia" w:eastAsiaTheme="minorEastAsia"/>
          <w:sz w:val="32"/>
          <w:szCs w:val="32"/>
        </w:rPr>
        <w:t>1、基本支出</w:t>
      </w:r>
      <w:r>
        <w:rPr>
          <w:rFonts w:hint="eastAsia" w:asciiTheme="minorEastAsia" w:hAnsiTheme="minorEastAsia" w:eastAsiaTheme="minorEastAsia"/>
          <w:sz w:val="32"/>
          <w:szCs w:val="32"/>
          <w:lang w:val="en-US" w:eastAsia="zh-CN"/>
        </w:rPr>
        <w:t>1455.13</w:t>
      </w:r>
      <w:r>
        <w:rPr>
          <w:rFonts w:hint="eastAsia" w:asciiTheme="minorEastAsia" w:hAnsiTheme="minorEastAsia" w:eastAsiaTheme="minorEastAsia"/>
          <w:sz w:val="32"/>
          <w:szCs w:val="32"/>
        </w:rPr>
        <w:t>万元，其中：（1）工资福利支出</w:t>
      </w:r>
      <w:r>
        <w:rPr>
          <w:rFonts w:hint="eastAsia" w:asciiTheme="minorEastAsia" w:hAnsiTheme="minorEastAsia" w:eastAsiaTheme="minorEastAsia"/>
          <w:sz w:val="32"/>
          <w:szCs w:val="32"/>
          <w:lang w:val="en-US" w:eastAsia="zh-CN"/>
        </w:rPr>
        <w:t>1437.09</w:t>
      </w:r>
      <w:r>
        <w:rPr>
          <w:rFonts w:hint="eastAsia" w:asciiTheme="minorEastAsia" w:hAnsiTheme="minorEastAsia" w:eastAsiaTheme="minorEastAsia"/>
          <w:sz w:val="32"/>
          <w:szCs w:val="32"/>
        </w:rPr>
        <w:t>万元，用于保障职工的正常待遇及各项社会保障缴费；（2）商品和服务支出</w:t>
      </w:r>
      <w:r>
        <w:rPr>
          <w:rFonts w:hint="eastAsia" w:asciiTheme="minorEastAsia" w:hAnsiTheme="minorEastAsia" w:eastAsiaTheme="minorEastAsia"/>
          <w:sz w:val="32"/>
          <w:szCs w:val="32"/>
          <w:lang w:val="en-US" w:eastAsia="zh-CN"/>
        </w:rPr>
        <w:t>18.04</w:t>
      </w:r>
      <w:r>
        <w:rPr>
          <w:rFonts w:hint="eastAsia" w:asciiTheme="minorEastAsia" w:hAnsiTheme="minorEastAsia" w:eastAsiaTheme="minorEastAsia"/>
          <w:sz w:val="32"/>
          <w:szCs w:val="32"/>
        </w:rPr>
        <w:t>万元，用于单位办公费、印刷费、水电费、差旅费、维修(护)费、会议费、培训费、公务接待费、福利费、税金、其他商品服务支出等，保证正常运转。</w:t>
      </w:r>
    </w:p>
    <w:p>
      <w:pPr>
        <w:ind w:firstLine="729" w:firstLineChars="228"/>
        <w:rPr>
          <w:rFonts w:asciiTheme="minorEastAsia" w:hAnsiTheme="minorEastAsia" w:eastAsiaTheme="minorEastAsia"/>
          <w:sz w:val="32"/>
          <w:szCs w:val="32"/>
        </w:rPr>
      </w:pPr>
      <w:r>
        <w:rPr>
          <w:rFonts w:hint="eastAsia" w:asciiTheme="minorEastAsia" w:hAnsiTheme="minorEastAsia" w:eastAsiaTheme="minorEastAsia"/>
          <w:sz w:val="32"/>
          <w:szCs w:val="32"/>
        </w:rPr>
        <w:t>2、项目支出</w:t>
      </w:r>
      <w:r>
        <w:rPr>
          <w:rFonts w:hint="eastAsia" w:asciiTheme="minorEastAsia" w:hAnsiTheme="minorEastAsia" w:eastAsiaTheme="minorEastAsia"/>
          <w:sz w:val="32"/>
          <w:szCs w:val="32"/>
          <w:lang w:val="en-US" w:eastAsia="zh-CN"/>
        </w:rPr>
        <w:t>82.42</w:t>
      </w:r>
      <w:r>
        <w:rPr>
          <w:rFonts w:hint="eastAsia" w:asciiTheme="minorEastAsia" w:hAnsiTheme="minorEastAsia" w:eastAsiaTheme="minorEastAsia"/>
          <w:sz w:val="32"/>
          <w:szCs w:val="32"/>
        </w:rPr>
        <w:t>万元，其中一般行政管理事务支出</w:t>
      </w:r>
      <w:r>
        <w:rPr>
          <w:rFonts w:hint="eastAsia" w:asciiTheme="minorEastAsia" w:hAnsiTheme="minorEastAsia" w:eastAsiaTheme="minorEastAsia"/>
          <w:sz w:val="32"/>
          <w:szCs w:val="32"/>
          <w:lang w:val="en-US" w:eastAsia="zh-CN"/>
        </w:rPr>
        <w:t>64.42</w:t>
      </w:r>
      <w:r>
        <w:rPr>
          <w:rFonts w:hint="eastAsia" w:asciiTheme="minorEastAsia" w:hAnsiTheme="minorEastAsia" w:eastAsiaTheme="minorEastAsia"/>
          <w:sz w:val="32"/>
          <w:szCs w:val="32"/>
        </w:rPr>
        <w:t>万元；其他财政事务支出</w:t>
      </w:r>
      <w:r>
        <w:rPr>
          <w:rFonts w:hint="eastAsia" w:asciiTheme="minorEastAsia" w:hAnsiTheme="minorEastAsia" w:eastAsiaTheme="minorEastAsia"/>
          <w:sz w:val="32"/>
          <w:szCs w:val="32"/>
          <w:lang w:val="en-US" w:eastAsia="zh-CN"/>
        </w:rPr>
        <w:t>18万元</w:t>
      </w:r>
      <w:bookmarkStart w:id="0" w:name="_GoBack"/>
      <w:bookmarkEnd w:id="0"/>
      <w:r>
        <w:rPr>
          <w:rFonts w:hint="eastAsia" w:asciiTheme="minorEastAsia" w:hAnsiTheme="minorEastAsia" w:eastAsiaTheme="minorEastAsia"/>
          <w:sz w:val="32"/>
          <w:szCs w:val="32"/>
        </w:rPr>
        <w:t>。</w:t>
      </w:r>
    </w:p>
    <w:p>
      <w:pPr>
        <w:ind w:firstLine="732" w:firstLineChars="228"/>
        <w:rPr>
          <w:rFonts w:asciiTheme="majorEastAsia" w:hAnsiTheme="majorEastAsia" w:eastAsiaTheme="majorEastAsia"/>
          <w:b/>
          <w:sz w:val="32"/>
          <w:szCs w:val="32"/>
        </w:rPr>
      </w:pPr>
      <w:r>
        <w:rPr>
          <w:rFonts w:hint="eastAsia" w:asciiTheme="majorEastAsia" w:hAnsiTheme="majorEastAsia" w:eastAsiaTheme="majorEastAsia"/>
          <w:b/>
          <w:sz w:val="32"/>
          <w:szCs w:val="32"/>
        </w:rPr>
        <w:t>三、部门绩效目标</w:t>
      </w:r>
    </w:p>
    <w:p>
      <w:pPr>
        <w:ind w:firstLine="729" w:firstLineChars="228"/>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严格按照预算资金绩效管理的相关要求，规范管理和使用预算资金，保证单位正常运转和履行好工作职能，充分发挥预算资金效益，进一步提升部门工作效率。</w:t>
      </w:r>
    </w:p>
    <w:p>
      <w:pPr>
        <w:ind w:firstLine="729" w:firstLineChars="228"/>
        <w:rPr>
          <w:rFonts w:hint="eastAsia" w:asciiTheme="minorEastAsia" w:hAnsiTheme="minorEastAsia" w:eastAsiaTheme="minorEastAsia"/>
          <w:sz w:val="32"/>
          <w:szCs w:val="32"/>
        </w:rPr>
      </w:pP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p>
    <w:p>
      <w:pPr>
        <w:ind w:firstLine="320" w:firstLineChars="100"/>
        <w:jc w:val="righ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常宁市乡镇财政服务中心</w:t>
      </w:r>
    </w:p>
    <w:p>
      <w:pPr>
        <w:ind w:firstLine="6163" w:firstLineChars="1926"/>
        <w:rPr>
          <w:rFonts w:hint="default" w:asciiTheme="minorEastAsia" w:hAnsiTheme="minorEastAsia" w:eastAsiaTheme="minorEastAsia"/>
          <w:sz w:val="32"/>
          <w:szCs w:val="32"/>
          <w:lang w:val="en-US" w:eastAsia="zh-CN"/>
        </w:rPr>
      </w:pPr>
    </w:p>
    <w:sectPr>
      <w:headerReference r:id="rId3"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B19"/>
    <w:rsid w:val="0002338D"/>
    <w:rsid w:val="0016483E"/>
    <w:rsid w:val="001D01D9"/>
    <w:rsid w:val="00210342"/>
    <w:rsid w:val="0028276B"/>
    <w:rsid w:val="002E5349"/>
    <w:rsid w:val="002F7F95"/>
    <w:rsid w:val="003363B8"/>
    <w:rsid w:val="00367B19"/>
    <w:rsid w:val="00371B91"/>
    <w:rsid w:val="003B5367"/>
    <w:rsid w:val="003D7233"/>
    <w:rsid w:val="003F57F8"/>
    <w:rsid w:val="00436C66"/>
    <w:rsid w:val="004E2005"/>
    <w:rsid w:val="0050386B"/>
    <w:rsid w:val="005B7C52"/>
    <w:rsid w:val="006130AC"/>
    <w:rsid w:val="006250D0"/>
    <w:rsid w:val="00660D81"/>
    <w:rsid w:val="00675F2B"/>
    <w:rsid w:val="006F421A"/>
    <w:rsid w:val="006F643F"/>
    <w:rsid w:val="00875EEB"/>
    <w:rsid w:val="008F3989"/>
    <w:rsid w:val="009752E7"/>
    <w:rsid w:val="009A0473"/>
    <w:rsid w:val="009E3210"/>
    <w:rsid w:val="009E33E6"/>
    <w:rsid w:val="00A51BF6"/>
    <w:rsid w:val="00AE07E2"/>
    <w:rsid w:val="00B513B4"/>
    <w:rsid w:val="00BA1B05"/>
    <w:rsid w:val="00BA6D75"/>
    <w:rsid w:val="00BD3F79"/>
    <w:rsid w:val="00BE3298"/>
    <w:rsid w:val="00C16542"/>
    <w:rsid w:val="00C409A5"/>
    <w:rsid w:val="00C73370"/>
    <w:rsid w:val="00C92A58"/>
    <w:rsid w:val="00CC5067"/>
    <w:rsid w:val="00CE0462"/>
    <w:rsid w:val="00CE5DAE"/>
    <w:rsid w:val="00CE68D0"/>
    <w:rsid w:val="00D91EE6"/>
    <w:rsid w:val="00DA7766"/>
    <w:rsid w:val="00E0465E"/>
    <w:rsid w:val="00E31195"/>
    <w:rsid w:val="00E65C09"/>
    <w:rsid w:val="00EB36BA"/>
    <w:rsid w:val="00EE249E"/>
    <w:rsid w:val="00EF3C98"/>
    <w:rsid w:val="00FA71DB"/>
    <w:rsid w:val="00FD0A28"/>
    <w:rsid w:val="00FE32E9"/>
    <w:rsid w:val="0FE615EA"/>
    <w:rsid w:val="18666831"/>
    <w:rsid w:val="2D5E20D5"/>
    <w:rsid w:val="2EDB7AC4"/>
    <w:rsid w:val="5106658B"/>
    <w:rsid w:val="6C4C32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Calibri" w:hAnsi="Calibri" w:eastAsia="宋体" w:cs="Times New Roman"/>
      <w:sz w:val="18"/>
      <w:szCs w:val="18"/>
    </w:rPr>
  </w:style>
  <w:style w:type="paragraph" w:styleId="8">
    <w:name w:val="List Paragraph"/>
    <w:basedOn w:val="1"/>
    <w:qFormat/>
    <w:uiPriority w:val="34"/>
    <w:pPr>
      <w:ind w:firstLine="420" w:firstLineChars="200"/>
    </w:pPr>
  </w:style>
  <w:style w:type="character" w:customStyle="1" w:styleId="9">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161</Words>
  <Characters>918</Characters>
  <Lines>7</Lines>
  <Paragraphs>2</Paragraphs>
  <TotalTime>4</TotalTime>
  <ScaleCrop>false</ScaleCrop>
  <LinksUpToDate>false</LinksUpToDate>
  <CharactersWithSpaces>1077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2020-06-19T08:44:00Z</dcterms:created>
  <dc:creator>Administrator</dc:creator>
  <cp:lastModifiedBy>Administrator</cp:lastModifiedBy>
  <dcterms:modified xsi:type="dcterms:W3CDTF">2023-08-23T03:19:15Z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