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常宁市文化遗产事务中心整体支出</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绩效评价报告</w:t>
      </w:r>
    </w:p>
    <w:p>
      <w:pPr>
        <w:jc w:val="center"/>
        <w:rPr>
          <w:rFonts w:asciiTheme="minorEastAsia" w:hAnsiTheme="minorEastAsia" w:eastAsiaTheme="minorEastAsia"/>
          <w:sz w:val="44"/>
          <w:szCs w:val="44"/>
        </w:rPr>
      </w:pPr>
    </w:p>
    <w:p>
      <w:pPr>
        <w:pStyle w:val="8"/>
        <w:numPr>
          <w:ilvl w:val="0"/>
          <w:numId w:val="1"/>
        </w:numPr>
        <w:ind w:firstLineChars="0"/>
        <w:rPr>
          <w:rFonts w:asciiTheme="minorEastAsia" w:hAnsiTheme="minorEastAsia"/>
          <w:sz w:val="30"/>
          <w:szCs w:val="30"/>
        </w:rPr>
      </w:pPr>
      <w:r>
        <w:rPr>
          <w:rFonts w:asciiTheme="minorEastAsia" w:hAnsiTheme="minorEastAsia"/>
          <w:sz w:val="30"/>
          <w:szCs w:val="30"/>
        </w:rPr>
        <w:t xml:space="preserve"> </w:t>
      </w:r>
      <w:r>
        <w:rPr>
          <w:rFonts w:hint="eastAsia" w:asciiTheme="minorEastAsia" w:hAnsiTheme="minorEastAsia"/>
          <w:sz w:val="30"/>
          <w:szCs w:val="30"/>
        </w:rPr>
        <w:t>项目单位基本情况</w:t>
      </w:r>
    </w:p>
    <w:p>
      <w:pPr>
        <w:pStyle w:val="8"/>
        <w:numPr>
          <w:ilvl w:val="0"/>
          <w:numId w:val="0"/>
        </w:numPr>
        <w:ind w:left="1120" w:leftChars="0"/>
        <w:rPr>
          <w:rFonts w:asciiTheme="minorEastAsia" w:hAnsiTheme="minorEastAsia"/>
          <w:sz w:val="30"/>
          <w:szCs w:val="30"/>
        </w:rPr>
      </w:pPr>
    </w:p>
    <w:p>
      <w:pPr>
        <w:spacing w:line="384" w:lineRule="atLeast"/>
        <w:ind w:firstLine="750" w:firstLineChars="250"/>
        <w:rPr>
          <w:rFonts w:cs="仿宋_GB2312" w:asciiTheme="minorEastAsia" w:hAnsiTheme="minorEastAsia" w:eastAsiaTheme="minorEastAsia"/>
          <w:color w:val="383838"/>
          <w:sz w:val="28"/>
          <w:szCs w:val="28"/>
        </w:rPr>
      </w:pPr>
      <w:r>
        <w:rPr>
          <w:rFonts w:hint="eastAsia" w:asciiTheme="minorEastAsia" w:hAnsiTheme="minorEastAsia" w:eastAsiaTheme="minorEastAsia"/>
          <w:sz w:val="30"/>
          <w:szCs w:val="30"/>
        </w:rPr>
        <w:t>（一）主要职能：</w:t>
      </w:r>
      <w:r>
        <w:rPr>
          <w:rFonts w:hint="eastAsia" w:cs="仿宋_GB2312" w:asciiTheme="minorEastAsia" w:hAnsiTheme="minorEastAsia" w:eastAsiaTheme="minorEastAsia"/>
          <w:bCs/>
          <w:sz w:val="28"/>
          <w:szCs w:val="28"/>
        </w:rPr>
        <w:t>1.贯彻落实国家、省、市有关文物保护法律、法规，制定全市文物保护具体办法。</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2.审核、申报市（县级）重点文物保护单位；推荐、申报全国、全省、衡阳市重点文物保护单位；会同有关部门申报历史文化名城、名镇、名村和世界文化遗产及传统村落。</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3.管理、协调和指导全市文物保护、发掘、宣传、研究、出境等业务工作。依照有关法律、法规，申报重点文物发掘、保护、维修项目；组织、指导重点文物保护工程方案论证、设计、施工、质量监督及验收。</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4.会同有关部门审批或申报文物保护单位维修、迁移、拆除、古建筑维修设计及施工队伍资质；管理和监督全市文物勘测设计、施工、调查、勘探、考古发掘。</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5.制定并组织实施全市文物保护、博物馆事业发展规划、计划以及重大工程项目建设；负责全市博物馆、纪念馆、陈列馆建设与管理；负责文物库房管理。</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6.负责全市文物行政执法监督；对查处盗窃、破坏、走私文物案件提出文物方面专业性意见；对社会文物进行宏观管理；督促、检查、指导、协调全市文物安全保卫和消防、技防工作。</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7.编制文物事业经费预算；负责市境内文物普查、研究、整理、建档和保管工作。</w:t>
      </w:r>
    </w:p>
    <w:p>
      <w:pPr>
        <w:ind w:firstLine="700" w:firstLineChars="25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8.承担市委、市政府交办的其他事项。</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预算单位构成：根据上述职能，市文化遗产事物中心设</w:t>
      </w:r>
      <w:r>
        <w:rPr>
          <w:rFonts w:asciiTheme="minorEastAsia" w:hAnsiTheme="minorEastAsia" w:eastAsiaTheme="minorEastAsia"/>
          <w:sz w:val="28"/>
          <w:szCs w:val="28"/>
        </w:rPr>
        <w:t>1</w:t>
      </w:r>
      <w:r>
        <w:rPr>
          <w:rFonts w:hint="eastAsia" w:asciiTheme="minorEastAsia" w:hAnsiTheme="minorEastAsia" w:eastAsiaTheme="minorEastAsia"/>
          <w:sz w:val="28"/>
          <w:szCs w:val="28"/>
        </w:rPr>
        <w:t>办、3股，文化遗产事务中心</w:t>
      </w:r>
      <w:r>
        <w:rPr>
          <w:rFonts w:hint="eastAsia" w:asciiTheme="minorEastAsia" w:hAnsiTheme="minorEastAsia" w:eastAsiaTheme="minorEastAsia"/>
          <w:sz w:val="28"/>
          <w:szCs w:val="28"/>
          <w:lang w:eastAsia="zh-CN"/>
        </w:rPr>
        <w:t>工</w:t>
      </w:r>
      <w:r>
        <w:rPr>
          <w:rFonts w:hint="eastAsia" w:asciiTheme="minorEastAsia" w:hAnsiTheme="minorEastAsia" w:eastAsiaTheme="minorEastAsia"/>
          <w:sz w:val="28"/>
          <w:szCs w:val="28"/>
        </w:rPr>
        <w:t>会委员会，下设水口山工人运动陈列馆。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（二）、日常公用经费</w:t>
      </w:r>
      <w:r>
        <w:rPr>
          <w:rFonts w:hint="eastAsia" w:asciiTheme="minorEastAsia" w:hAnsiTheme="minorEastAsia" w:eastAsiaTheme="minorEastAsia"/>
          <w:sz w:val="28"/>
          <w:szCs w:val="28"/>
          <w:lang w:val="en-US" w:eastAsia="zh-CN"/>
        </w:rPr>
        <w:t>118.94</w:t>
      </w:r>
      <w:r>
        <w:rPr>
          <w:rFonts w:hint="eastAsia" w:asciiTheme="minorEastAsia" w:hAnsiTheme="minorEastAsia" w:eastAsiaTheme="minorEastAsia"/>
          <w:sz w:val="28"/>
          <w:szCs w:val="28"/>
        </w:rPr>
        <w:t>万元，是保障机构正常运转，完成日常工作任务而发生的各项支出，包括人员工资福利支出、办公费、印刷费、水电费、办公设备购置、差旅费、劳务费、维护费等。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（三）、项目经费</w:t>
      </w:r>
      <w:r>
        <w:rPr>
          <w:rFonts w:hint="eastAsia" w:asciiTheme="minorEastAsia" w:hAnsiTheme="minorEastAsia" w:eastAsiaTheme="minorEastAsia"/>
          <w:sz w:val="28"/>
          <w:szCs w:val="28"/>
          <w:lang w:val="en-US" w:eastAsia="zh-CN"/>
        </w:rPr>
        <w:t>624.31</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支付刘氏大屋三期修缮费</w:t>
      </w:r>
      <w:r>
        <w:rPr>
          <w:rFonts w:hint="eastAsia" w:asciiTheme="minorEastAsia" w:hAnsiTheme="minorEastAsia" w:eastAsiaTheme="minorEastAsia"/>
          <w:sz w:val="28"/>
          <w:szCs w:val="28"/>
          <w:lang w:val="en-US" w:eastAsia="zh-CN"/>
        </w:rPr>
        <w:t>222.8</w:t>
      </w:r>
      <w:bookmarkStart w:id="0" w:name="_GoBack"/>
      <w:bookmarkEnd w:id="0"/>
      <w:r>
        <w:rPr>
          <w:rFonts w:hint="eastAsia" w:asciiTheme="minorEastAsia" w:hAnsiTheme="minorEastAsia" w:eastAsiaTheme="minorEastAsia"/>
          <w:sz w:val="28"/>
          <w:szCs w:val="28"/>
          <w:lang w:val="en-US" w:eastAsia="zh-CN"/>
        </w:rPr>
        <w:t>万元；支付刘氏大屋设计费30万元；支付刘亚球旧居修缮87万元；支付工人秘密会议旧址四十八间房屋维修118万元；支付中田村消防（一期）57.71万元；支付第十一批省保申报编制费26万元；支付白沙王家厅屋设计费4.8万元；康汉柳饭店旧址复原工程费78万元。</w:t>
      </w:r>
      <w:r>
        <w:rPr>
          <w:rFonts w:hint="eastAsia" w:asciiTheme="minorEastAsia" w:hAnsiTheme="minorEastAsia" w:eastAsiaTheme="minorEastAsia"/>
          <w:sz w:val="28"/>
          <w:szCs w:val="28"/>
        </w:rPr>
        <w:t>项目资金按照合同约定进度和额度支出，做到支出进度和范围与项目计划一致，同时，做到专款专用，没有违规情况。在项目资金管理上是由常宁市文化遗产事务中心</w:t>
      </w:r>
      <w:r>
        <w:rPr>
          <w:rFonts w:hint="eastAsia" w:asciiTheme="minorEastAsia" w:hAnsiTheme="minorEastAsia" w:eastAsiaTheme="minorEastAsia"/>
          <w:sz w:val="28"/>
          <w:szCs w:val="28"/>
          <w:lang w:eastAsia="zh-CN"/>
        </w:rPr>
        <w:t>财务</w:t>
      </w:r>
      <w:r>
        <w:rPr>
          <w:rFonts w:hint="eastAsia" w:asciiTheme="minorEastAsia" w:hAnsiTheme="minorEastAsia" w:eastAsiaTheme="minorEastAsia"/>
          <w:sz w:val="28"/>
          <w:szCs w:val="28"/>
        </w:rPr>
        <w:t>负责总管，常宁市财政局负责监管。</w:t>
      </w:r>
    </w:p>
    <w:p>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二、绩效评价工作情况</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asciiTheme="minorEastAsia" w:hAnsiTheme="minorEastAsia" w:eastAsiaTheme="minorEastAsia"/>
          <w:sz w:val="28"/>
          <w:szCs w:val="28"/>
        </w:rPr>
        <w:t>20</w:t>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年度文化遗产事务中心预算支出绩效评价按照真实、公正的要求反映出支出和产出绩效之间的紧密关系，对支出的效率性和效益性进行客观评价。</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、绩效评价工作得到了我局领导的高度重视，召开了专门的会议研究和部署绩效评价工作，成立了由唐伍华主任为组长的工作组，党支部书记刘志林负责纪律监察，财务人员具体实施，对我局</w:t>
      </w:r>
      <w:r>
        <w:rPr>
          <w:rFonts w:asciiTheme="minorEastAsia" w:hAnsiTheme="minorEastAsia" w:eastAsiaTheme="minorEastAsia"/>
          <w:sz w:val="28"/>
          <w:szCs w:val="28"/>
        </w:rPr>
        <w:t>20</w:t>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年的预算支出进行认真、详细的、客观的评价。</w:t>
      </w:r>
    </w:p>
    <w:p>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三、项目主要绩效及评价结论</w:t>
      </w:r>
    </w:p>
    <w:p>
      <w:pPr>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文化遗产事务中心及水口山工人运动陈列馆是我市公共文化服务体系的重要组成部分，是保障人民群众基本文化权益的重要阵地，合理利用我市珍贵的文物资源发挥其社会功能，对于满足市民群众日益增长的精神文化需求，振奋民族精神，激发爱国热情，弘扬我市优秀文化传统，推动社会主义文化大发展大繁荣，具有十分重要的意义。从时效目标、数量目标、可持续影响目标等方面进行绩效评价，资金到位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，安全生产</w:t>
      </w:r>
      <w:r>
        <w:rPr>
          <w:rFonts w:asciiTheme="minorEastAsia" w:hAnsiTheme="minorEastAsia" w:eastAsiaTheme="minorEastAsia"/>
          <w:sz w:val="28"/>
          <w:szCs w:val="28"/>
        </w:rPr>
        <w:t>100%</w:t>
      </w:r>
      <w:r>
        <w:rPr>
          <w:rFonts w:hint="eastAsia" w:asciiTheme="minorEastAsia" w:hAnsiTheme="minorEastAsia" w:eastAsiaTheme="minorEastAsia"/>
          <w:sz w:val="28"/>
          <w:szCs w:val="28"/>
        </w:rPr>
        <w:t>，文物损毁、危害率</w:t>
      </w:r>
      <w:r>
        <w:rPr>
          <w:rFonts w:asciiTheme="minorEastAsia" w:hAnsiTheme="minorEastAsia" w:eastAsiaTheme="minorEastAsia"/>
          <w:sz w:val="28"/>
          <w:szCs w:val="28"/>
        </w:rPr>
        <w:t>0%</w:t>
      </w:r>
      <w:r>
        <w:rPr>
          <w:rFonts w:hint="eastAsia" w:asciiTheme="minorEastAsia" w:hAnsiTheme="minorEastAsia" w:eastAsiaTheme="minorEastAsia"/>
          <w:sz w:val="28"/>
          <w:szCs w:val="28"/>
        </w:rPr>
        <w:t>，管理制度健全规范，资金专款专用，固定资产有专人管理。服务群众满意度达</w:t>
      </w:r>
      <w:r>
        <w:rPr>
          <w:rFonts w:asciiTheme="minorEastAsia" w:hAnsiTheme="minorEastAsia" w:eastAsiaTheme="minorEastAsia"/>
          <w:sz w:val="28"/>
          <w:szCs w:val="28"/>
        </w:rPr>
        <w:t>95%</w:t>
      </w:r>
      <w:r>
        <w:rPr>
          <w:rFonts w:hint="eastAsia" w:asciiTheme="minorEastAsia" w:hAnsiTheme="minorEastAsia" w:eastAsiaTheme="minorEastAsia"/>
          <w:sz w:val="28"/>
          <w:szCs w:val="28"/>
        </w:rPr>
        <w:t>以上。</w:t>
      </w:r>
    </w:p>
    <w:p>
      <w:pPr>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四、存在的问题</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中央、省、衡阳市都出台了相关的法律法规，政策和文件要加大对重点文物保护单位的经费投入，按照原则，文物重点保护单位的前期保护规划，方案设计，都需要地方财政前期投入配套资金，由于财政经费不足，影响了我市重点文物保护单位的保护工作，部分文物保护单位存在安全隐患。</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、专业技术人员缺乏，严重制约了常宁文物事业的发展，无法保证日常工作运转。</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五、有关建议</w:t>
      </w:r>
    </w:p>
    <w:p>
      <w:pPr>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、财政将文物保护专项资金纳入预算，加大重点文物保护单位经费投入。</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2、将博物馆建设纳入预算，提高常宁人民对馆藏文物的保护意识。</w:t>
      </w:r>
    </w:p>
    <w:p>
      <w:pPr>
        <w:ind w:firstLine="3920" w:firstLineChars="1400"/>
        <w:rPr>
          <w:rFonts w:asciiTheme="minorEastAsia" w:hAnsiTheme="minorEastAsia" w:eastAsiaTheme="minorEastAsia"/>
          <w:sz w:val="28"/>
          <w:szCs w:val="28"/>
        </w:rPr>
      </w:pPr>
    </w:p>
    <w:p>
      <w:pPr>
        <w:ind w:firstLine="3920" w:firstLineChars="1400"/>
        <w:rPr>
          <w:rFonts w:asciiTheme="minorEastAsia" w:hAnsiTheme="minorEastAsia" w:eastAsiaTheme="minorEastAsia"/>
          <w:sz w:val="28"/>
          <w:szCs w:val="28"/>
        </w:rPr>
      </w:pPr>
    </w:p>
    <w:p>
      <w:pPr>
        <w:ind w:firstLine="3920" w:firstLineChars="1400"/>
        <w:rPr>
          <w:rFonts w:asciiTheme="minorEastAsia" w:hAnsiTheme="minorEastAsia" w:eastAsiaTheme="minorEastAsia"/>
          <w:sz w:val="28"/>
          <w:szCs w:val="28"/>
        </w:rPr>
      </w:pPr>
    </w:p>
    <w:p>
      <w:pPr>
        <w:spacing w:line="220" w:lineRule="atLeast"/>
        <w:rPr>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863A3"/>
    <w:multiLevelType w:val="multilevel"/>
    <w:tmpl w:val="0C3863A3"/>
    <w:lvl w:ilvl="0" w:tentative="0">
      <w:start w:val="1"/>
      <w:numFmt w:val="japaneseCounting"/>
      <w:lvlText w:val="%1、"/>
      <w:lvlJc w:val="left"/>
      <w:pPr>
        <w:ind w:left="1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BhMWQzZmE0ZDMxNDliNWYxYjYwNGM2ZDcwNmZlMDcifQ=="/>
  </w:docVars>
  <w:rsids>
    <w:rsidRoot w:val="00D31D50"/>
    <w:rsid w:val="00044C45"/>
    <w:rsid w:val="000B6FBC"/>
    <w:rsid w:val="000C43A2"/>
    <w:rsid w:val="0019064F"/>
    <w:rsid w:val="001D5DC0"/>
    <w:rsid w:val="001D70E9"/>
    <w:rsid w:val="00233F3B"/>
    <w:rsid w:val="00323B43"/>
    <w:rsid w:val="003C5BCD"/>
    <w:rsid w:val="003D37D8"/>
    <w:rsid w:val="00426133"/>
    <w:rsid w:val="004358AB"/>
    <w:rsid w:val="00441401"/>
    <w:rsid w:val="004E554C"/>
    <w:rsid w:val="004F0571"/>
    <w:rsid w:val="00540F60"/>
    <w:rsid w:val="00555F57"/>
    <w:rsid w:val="0058418C"/>
    <w:rsid w:val="005A6C4D"/>
    <w:rsid w:val="006B6FE7"/>
    <w:rsid w:val="007603EA"/>
    <w:rsid w:val="008135C8"/>
    <w:rsid w:val="008B7726"/>
    <w:rsid w:val="008F3035"/>
    <w:rsid w:val="0098287E"/>
    <w:rsid w:val="009E1CD7"/>
    <w:rsid w:val="00A76364"/>
    <w:rsid w:val="00A96749"/>
    <w:rsid w:val="00B20BBF"/>
    <w:rsid w:val="00C052FD"/>
    <w:rsid w:val="00C16F0F"/>
    <w:rsid w:val="00CA0E5A"/>
    <w:rsid w:val="00D108EF"/>
    <w:rsid w:val="00D13191"/>
    <w:rsid w:val="00D31D50"/>
    <w:rsid w:val="00D542F9"/>
    <w:rsid w:val="00DA06B7"/>
    <w:rsid w:val="00DD5D3A"/>
    <w:rsid w:val="00E20F8B"/>
    <w:rsid w:val="00E55421"/>
    <w:rsid w:val="00F14A0D"/>
    <w:rsid w:val="00F54206"/>
    <w:rsid w:val="00FD70FA"/>
    <w:rsid w:val="00FE0A76"/>
    <w:rsid w:val="0A8C6BBF"/>
    <w:rsid w:val="19EE06BC"/>
    <w:rsid w:val="233A2855"/>
    <w:rsid w:val="35487F57"/>
    <w:rsid w:val="40337E4F"/>
    <w:rsid w:val="45B558A6"/>
    <w:rsid w:val="48904F35"/>
    <w:rsid w:val="48A92111"/>
    <w:rsid w:val="4D991EA1"/>
    <w:rsid w:val="546E42B5"/>
    <w:rsid w:val="621D489F"/>
    <w:rsid w:val="6381495B"/>
    <w:rsid w:val="69014B04"/>
    <w:rsid w:val="6FA312A8"/>
    <w:rsid w:val="7D91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A67D69-2864-44C7-9FC3-97AB2477E52B}">
  <ds:schemaRefs/>
</ds:datastoreItem>
</file>

<file path=docProps/app.xml><?xml version="1.0" encoding="utf-8"?>
<Properties xmlns="http://schemas.openxmlformats.org/officeDocument/2006/extended-properties" xmlns:vt="http://schemas.openxmlformats.org/officeDocument/2006/docPropsVTypes">
  <Template>Normal</Template>
  <Pages>3</Pages>
  <Words>1560</Words>
  <Characters>1607</Characters>
  <Lines>11</Lines>
  <Paragraphs>3</Paragraphs>
  <TotalTime>113</TotalTime>
  <ScaleCrop>false</ScaleCrop>
  <LinksUpToDate>false</LinksUpToDate>
  <CharactersWithSpaces>1608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紫水晶</cp:lastModifiedBy>
  <dcterms:modified xsi:type="dcterms:W3CDTF">2023-08-28T01:32:28Z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9AC669D816C14B52819163C6C45744C8</vt:lpwstr>
  </property>
</Properties>
</file>