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rPr>
      </w:pPr>
      <w:r>
        <w:rPr>
          <w:rFonts w:hint="eastAsia" w:ascii="黑体" w:hAnsi="黑体" w:eastAsia="黑体"/>
          <w:b/>
          <w:bCs/>
          <w:sz w:val="44"/>
          <w:szCs w:val="44"/>
        </w:rPr>
        <w:t>常宁市人</w:t>
      </w:r>
      <w:r>
        <w:rPr>
          <w:rFonts w:hint="eastAsia" w:ascii="黑体" w:hAnsi="黑体" w:eastAsia="黑体"/>
          <w:b/>
          <w:bCs/>
          <w:sz w:val="44"/>
          <w:szCs w:val="44"/>
          <w:lang w:eastAsia="zh-CN"/>
        </w:rPr>
        <w:t>民代表大会常务委员会</w:t>
      </w:r>
      <w:r>
        <w:rPr>
          <w:rFonts w:hint="eastAsia" w:ascii="黑体" w:hAnsi="黑体" w:eastAsia="黑体"/>
          <w:b/>
          <w:bCs/>
          <w:sz w:val="44"/>
          <w:szCs w:val="44"/>
        </w:rPr>
        <w:t>办公室</w:t>
      </w:r>
    </w:p>
    <w:p>
      <w:pPr>
        <w:jc w:val="center"/>
        <w:rPr>
          <w:rFonts w:ascii="黑体" w:hAnsi="黑体" w:eastAsia="黑体"/>
          <w:b/>
          <w:bCs/>
          <w:sz w:val="44"/>
          <w:szCs w:val="44"/>
        </w:rPr>
      </w:pPr>
      <w:r>
        <w:rPr>
          <w:rFonts w:hint="eastAsia" w:ascii="黑体" w:hAnsi="黑体" w:eastAsia="黑体"/>
          <w:b/>
          <w:bCs/>
          <w:sz w:val="44"/>
          <w:szCs w:val="44"/>
          <w:lang w:eastAsia="zh-CN"/>
        </w:rPr>
        <w:t>202</w:t>
      </w:r>
      <w:r>
        <w:rPr>
          <w:rFonts w:hint="eastAsia" w:ascii="黑体" w:hAnsi="黑体" w:eastAsia="黑体"/>
          <w:b/>
          <w:bCs/>
          <w:sz w:val="44"/>
          <w:szCs w:val="44"/>
          <w:lang w:val="en-US" w:eastAsia="zh-CN"/>
        </w:rPr>
        <w:t>2</w:t>
      </w:r>
      <w:r>
        <w:rPr>
          <w:rFonts w:hint="eastAsia" w:ascii="黑体" w:hAnsi="黑体" w:eastAsia="黑体"/>
          <w:b/>
          <w:bCs/>
          <w:sz w:val="44"/>
          <w:szCs w:val="44"/>
        </w:rPr>
        <w:t>年度整体支出绩效自评报告</w:t>
      </w:r>
    </w:p>
    <w:p>
      <w:pPr>
        <w:spacing w:line="600" w:lineRule="exact"/>
        <w:ind w:firstLine="560" w:firstLineChars="200"/>
        <w:rPr>
          <w:rFonts w:ascii="仿宋" w:hAnsi="仿宋" w:eastAsia="仿宋"/>
          <w:b/>
          <w:bCs/>
          <w:sz w:val="32"/>
          <w:szCs w:val="32"/>
        </w:rPr>
      </w:pPr>
      <w:r>
        <w:rPr>
          <w:rFonts w:hint="eastAsia" w:ascii="仿宋" w:hAnsi="仿宋" w:eastAsia="仿宋" w:cs="宋体"/>
          <w:sz w:val="28"/>
          <w:szCs w:val="28"/>
        </w:rPr>
        <w:t>为规范财务收支，强化机关财务管理和加强内部控制，提高资金使用效益，保证机关各项工作正常运转。按照《会计法》等相关法律法规，根据中央、省、市有关规定</w:t>
      </w:r>
      <w:bookmarkStart w:id="0" w:name="_GoBack"/>
      <w:bookmarkEnd w:id="0"/>
      <w:r>
        <w:rPr>
          <w:rFonts w:hint="eastAsia" w:ascii="仿宋" w:hAnsi="仿宋" w:eastAsia="仿宋" w:cs="宋体"/>
          <w:sz w:val="28"/>
          <w:szCs w:val="28"/>
        </w:rPr>
        <w:t>，结合本单位实际，遵循“科学规范、公正公开、分类管理、绩效相关”的原则，对本单位的部门预算整体支出进行了绩效评价，本次评价运用较科学、合理的绩效评价指标、评价标准和评价方法对</w:t>
      </w:r>
      <w:r>
        <w:rPr>
          <w:rFonts w:hint="eastAsia" w:ascii="仿宋" w:hAnsi="仿宋" w:eastAsia="仿宋" w:cs="宋体"/>
          <w:sz w:val="28"/>
          <w:szCs w:val="28"/>
          <w:lang w:eastAsia="zh-CN"/>
        </w:rPr>
        <w:t>202</w:t>
      </w:r>
      <w:r>
        <w:rPr>
          <w:rFonts w:hint="eastAsia" w:ascii="仿宋" w:hAnsi="仿宋" w:eastAsia="仿宋" w:cs="宋体"/>
          <w:sz w:val="28"/>
          <w:szCs w:val="28"/>
          <w:lang w:val="en-US" w:eastAsia="zh-CN"/>
        </w:rPr>
        <w:t>2</w:t>
      </w:r>
      <w:r>
        <w:rPr>
          <w:rFonts w:hint="eastAsia" w:ascii="仿宋" w:hAnsi="仿宋" w:eastAsia="仿宋" w:cs="宋体"/>
          <w:sz w:val="28"/>
          <w:szCs w:val="28"/>
        </w:rPr>
        <w:t>年度部门支出的绩效情况进行了客观、公正的评价。现将情况汇报如下：</w:t>
      </w:r>
    </w:p>
    <w:p>
      <w:pPr>
        <w:ind w:left="0" w:leftChars="0" w:firstLine="661" w:firstLineChars="206"/>
        <w:rPr>
          <w:rFonts w:ascii="黑体" w:eastAsia="黑体"/>
          <w:b/>
          <w:bCs/>
          <w:sz w:val="32"/>
          <w:szCs w:val="32"/>
        </w:rPr>
      </w:pPr>
      <w:r>
        <w:rPr>
          <w:rFonts w:hint="eastAsia" w:ascii="黑体" w:eastAsia="黑体"/>
          <w:b/>
          <w:bCs/>
          <w:sz w:val="32"/>
          <w:szCs w:val="32"/>
        </w:rPr>
        <w:t>一、基本情况</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（一）职能职责</w:t>
      </w:r>
    </w:p>
    <w:p>
      <w:pPr>
        <w:pStyle w:val="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讨论、决定重大事项。主要是包括审议和批准常宁市国民经济和社会发展计划、预算以及它们执行情况的报告；讨论、决定全市的政治、经济、教育、文化、卫生、环境和资源保护、民政、民政等重大事项；根据市人民政府的建议，决定对市国民经济和社会发展计划、预算的部分变更等。</w:t>
      </w:r>
    </w:p>
    <w:p>
      <w:pPr>
        <w:pStyle w:val="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监督“一府一委两院”工作。主要是对市人民政府、市监察委员会、市人民法院、市人民检察院进行工作监督和法律监督，通过听取和审议专项工作报告，组织执法检查，审查备案规范性文件，提出询问，提出质询案，组织特定问题调查委员会，受理公民的申诉、控告和检举等，促进依法行政、公正司法。</w:t>
      </w:r>
    </w:p>
    <w:p>
      <w:pPr>
        <w:pStyle w:val="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选举任免国家机关工作人员。主要是依法对国家机关领导人员及其组成人员进行选举、任命、罢免、免职、撤职等，采取选举、补选、决定代理、决定任免、任免、推选代理、通过人选、罢免、接受辞职、决定撤消、相应撤消、相应终止等形式，决定其他国家机构的组成。</w:t>
      </w:r>
    </w:p>
    <w:p>
      <w:pPr>
        <w:pStyle w:val="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做好代表工作。主要是组织和指导市乡两级人大代表换届选举工作，开展人大代表培训，督办人大议案和代表建议、批评和意见，规范代表活动室建设，组织人大代表开展履职活动，加强代表履职管理和服务，强化与人大代表的日常沟通和联系等。</w:t>
      </w:r>
    </w:p>
    <w:p>
      <w:pPr>
        <w:pStyle w:val="8"/>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、联系指导基层人大工作。主要是加强对乡镇、街道人大工作的联系和指导，通过业务培训、法律监督、调研检查、考核评比等方式，督促基层加强自身建设，依法履职，提升全市基层人大工作整体水平。</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（二）部门单位构成</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根据编委核定，常宁市人民代表大会内设委室</w:t>
      </w:r>
      <w:r>
        <w:rPr>
          <w:rFonts w:ascii="仿宋" w:hAnsi="仿宋" w:eastAsia="仿宋"/>
          <w:sz w:val="28"/>
          <w:szCs w:val="28"/>
        </w:rPr>
        <w:t>9</w:t>
      </w:r>
      <w:r>
        <w:rPr>
          <w:rFonts w:hint="eastAsia" w:ascii="仿宋" w:hAnsi="仿宋" w:eastAsia="仿宋"/>
          <w:sz w:val="28"/>
          <w:szCs w:val="28"/>
        </w:rPr>
        <w:t>个，分别是：常宁市人民代表大会常务委员会（设：办公室、联工委）、财政经济委员会、监察与司法委员会、教育科学文化卫生委员会、农业农村委员会、民族华侨外事委员会、环境资源委员会、社会建设委员会。</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常宁市人民代表大会以常宁市人民代表大会常务委员会办公室为一级预算单位，统一纳入财政预算管理。</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本单位现有制数</w:t>
      </w:r>
      <w:r>
        <w:rPr>
          <w:rFonts w:hint="eastAsia" w:ascii="仿宋" w:hAnsi="仿宋" w:eastAsia="仿宋"/>
          <w:sz w:val="28"/>
          <w:szCs w:val="28"/>
          <w:lang w:val="en-US" w:eastAsia="zh-CN"/>
        </w:rPr>
        <w:t>47</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在职人数</w:t>
      </w:r>
      <w:r>
        <w:rPr>
          <w:rFonts w:ascii="仿宋" w:hAnsi="仿宋" w:eastAsia="仿宋"/>
          <w:sz w:val="28"/>
          <w:szCs w:val="28"/>
        </w:rPr>
        <w:t>4</w:t>
      </w:r>
      <w:r>
        <w:rPr>
          <w:rFonts w:hint="eastAsia" w:ascii="仿宋" w:hAnsi="仿宋" w:eastAsia="仿宋"/>
          <w:sz w:val="28"/>
          <w:szCs w:val="28"/>
          <w:lang w:val="en-US" w:eastAsia="zh-CN"/>
        </w:rPr>
        <w:t>7</w:t>
      </w:r>
      <w:r>
        <w:rPr>
          <w:rFonts w:hint="eastAsia" w:ascii="仿宋" w:hAnsi="仿宋" w:eastAsia="仿宋"/>
          <w:sz w:val="28"/>
          <w:szCs w:val="28"/>
        </w:rPr>
        <w:t>人，其中</w:t>
      </w:r>
      <w:r>
        <w:rPr>
          <w:rFonts w:ascii="仿宋" w:hAnsi="仿宋" w:eastAsia="仿宋"/>
          <w:sz w:val="28"/>
          <w:szCs w:val="28"/>
        </w:rPr>
        <w:t>:</w:t>
      </w:r>
      <w:r>
        <w:rPr>
          <w:rFonts w:hint="eastAsia" w:ascii="仿宋" w:hAnsi="仿宋" w:eastAsia="仿宋"/>
          <w:sz w:val="28"/>
          <w:szCs w:val="28"/>
        </w:rPr>
        <w:t>在岗人数</w:t>
      </w:r>
      <w:r>
        <w:rPr>
          <w:rFonts w:ascii="仿宋" w:hAnsi="仿宋" w:eastAsia="仿宋"/>
          <w:sz w:val="28"/>
          <w:szCs w:val="28"/>
        </w:rPr>
        <w:t>4</w:t>
      </w:r>
      <w:r>
        <w:rPr>
          <w:rFonts w:hint="eastAsia" w:ascii="仿宋" w:hAnsi="仿宋" w:eastAsia="仿宋"/>
          <w:sz w:val="28"/>
          <w:szCs w:val="28"/>
          <w:lang w:val="en-US" w:eastAsia="zh-CN"/>
        </w:rPr>
        <w:t>7</w:t>
      </w:r>
      <w:r>
        <w:rPr>
          <w:rFonts w:hint="eastAsia" w:ascii="仿宋" w:hAnsi="仿宋" w:eastAsia="仿宋"/>
          <w:sz w:val="28"/>
          <w:szCs w:val="28"/>
        </w:rPr>
        <w:t>人；离退休人数</w:t>
      </w:r>
      <w:r>
        <w:rPr>
          <w:rFonts w:hint="eastAsia" w:ascii="仿宋" w:hAnsi="仿宋" w:eastAsia="仿宋"/>
          <w:sz w:val="28"/>
          <w:szCs w:val="28"/>
          <w:lang w:val="en-US" w:eastAsia="zh-CN"/>
        </w:rPr>
        <w:t>50</w:t>
      </w:r>
      <w:r>
        <w:rPr>
          <w:rFonts w:hint="eastAsia" w:ascii="仿宋" w:hAnsi="仿宋" w:eastAsia="仿宋"/>
          <w:sz w:val="28"/>
          <w:szCs w:val="28"/>
        </w:rPr>
        <w:t>人，其中离休人员</w:t>
      </w:r>
      <w:r>
        <w:rPr>
          <w:rFonts w:ascii="仿宋" w:hAnsi="仿宋" w:eastAsia="仿宋"/>
          <w:sz w:val="28"/>
          <w:szCs w:val="28"/>
        </w:rPr>
        <w:t>0</w:t>
      </w:r>
      <w:r>
        <w:rPr>
          <w:rFonts w:hint="eastAsia" w:ascii="仿宋" w:hAnsi="仿宋" w:eastAsia="仿宋"/>
          <w:sz w:val="28"/>
          <w:szCs w:val="28"/>
        </w:rPr>
        <w:t>人，退休人员</w:t>
      </w:r>
      <w:r>
        <w:rPr>
          <w:rFonts w:hint="eastAsia" w:ascii="仿宋" w:hAnsi="仿宋" w:eastAsia="仿宋"/>
          <w:sz w:val="28"/>
          <w:szCs w:val="28"/>
          <w:lang w:val="en-US" w:eastAsia="zh-CN"/>
        </w:rPr>
        <w:t>50</w:t>
      </w:r>
      <w:r>
        <w:rPr>
          <w:rFonts w:hint="eastAsia" w:ascii="仿宋" w:hAnsi="仿宋" w:eastAsia="仿宋"/>
          <w:sz w:val="28"/>
          <w:szCs w:val="28"/>
        </w:rPr>
        <w:t>人。</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（三）部门收支情况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 w:hAnsi="仿宋" w:eastAsia="仿宋"/>
          <w:sz w:val="28"/>
          <w:szCs w:val="28"/>
          <w:lang w:val="en-US" w:eastAsia="zh-CN"/>
        </w:rPr>
      </w:pPr>
      <w:r>
        <w:rPr>
          <w:rFonts w:ascii="仿宋" w:hAnsi="仿宋" w:eastAsia="仿宋"/>
          <w:sz w:val="28"/>
          <w:szCs w:val="28"/>
        </w:rPr>
        <w:t xml:space="preserve"> </w:t>
      </w:r>
      <w:r>
        <w:rPr>
          <w:rFonts w:hint="eastAsia" w:ascii="仿宋" w:hAnsi="仿宋" w:eastAsia="仿宋"/>
          <w:sz w:val="28"/>
          <w:szCs w:val="28"/>
        </w:rPr>
        <w:t>本单位</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hint="eastAsia" w:ascii="仿宋" w:hAnsi="仿宋" w:eastAsia="仿宋"/>
          <w:sz w:val="28"/>
          <w:szCs w:val="28"/>
        </w:rPr>
        <w:t>年度收入总计</w:t>
      </w:r>
      <w:r>
        <w:rPr>
          <w:rFonts w:hint="eastAsia" w:ascii="宋体" w:hAnsi="宋体" w:cs="仿宋"/>
          <w:bCs/>
          <w:sz w:val="28"/>
          <w:szCs w:val="28"/>
        </w:rPr>
        <w:t>1223</w:t>
      </w:r>
      <w:r>
        <w:rPr>
          <w:rFonts w:hint="eastAsia" w:ascii="宋体" w:hAnsi="宋体" w:cs="仿宋"/>
          <w:bCs/>
          <w:sz w:val="28"/>
          <w:szCs w:val="28"/>
          <w:lang w:val="en-US" w:eastAsia="zh-CN"/>
        </w:rPr>
        <w:t>.</w:t>
      </w:r>
      <w:r>
        <w:rPr>
          <w:rFonts w:hint="eastAsia" w:ascii="宋体" w:hAnsi="宋体" w:cs="仿宋"/>
          <w:bCs/>
          <w:sz w:val="28"/>
          <w:szCs w:val="28"/>
        </w:rPr>
        <w:t>16</w:t>
      </w:r>
      <w:r>
        <w:rPr>
          <w:rFonts w:hint="eastAsia" w:ascii="仿宋" w:hAnsi="仿宋" w:eastAsia="仿宋"/>
          <w:sz w:val="28"/>
          <w:szCs w:val="28"/>
        </w:rPr>
        <w:t>万元，其中财政拨款收入</w:t>
      </w:r>
      <w:r>
        <w:rPr>
          <w:rFonts w:hint="eastAsia" w:ascii="宋体" w:hAnsi="宋体" w:cs="仿宋"/>
          <w:bCs/>
          <w:sz w:val="28"/>
          <w:szCs w:val="28"/>
        </w:rPr>
        <w:t>11223</w:t>
      </w:r>
      <w:r>
        <w:rPr>
          <w:rFonts w:hint="eastAsia" w:ascii="宋体" w:hAnsi="宋体" w:cs="仿宋"/>
          <w:bCs/>
          <w:sz w:val="28"/>
          <w:szCs w:val="28"/>
          <w:lang w:val="en-US" w:eastAsia="zh-CN"/>
        </w:rPr>
        <w:t>.</w:t>
      </w:r>
      <w:r>
        <w:rPr>
          <w:rFonts w:hint="eastAsia" w:ascii="宋体" w:hAnsi="宋体" w:cs="仿宋"/>
          <w:bCs/>
          <w:sz w:val="28"/>
          <w:szCs w:val="28"/>
        </w:rPr>
        <w:t>16</w:t>
      </w:r>
      <w:r>
        <w:rPr>
          <w:rFonts w:hint="eastAsia" w:ascii="仿宋" w:hAnsi="仿宋" w:eastAsia="仿宋"/>
          <w:sz w:val="28"/>
          <w:szCs w:val="28"/>
        </w:rPr>
        <w:t>万元。</w:t>
      </w:r>
      <w:r>
        <w:rPr>
          <w:rFonts w:hint="eastAsia" w:ascii="仿宋" w:hAnsi="仿宋" w:eastAsia="仿宋"/>
          <w:sz w:val="28"/>
          <w:szCs w:val="28"/>
          <w:lang w:val="en-US" w:eastAsia="zh-CN"/>
        </w:rPr>
        <w:t>2022</w:t>
      </w:r>
      <w:r>
        <w:rPr>
          <w:rFonts w:hint="eastAsia" w:ascii="仿宋" w:hAnsi="仿宋" w:eastAsia="仿宋"/>
          <w:sz w:val="28"/>
          <w:szCs w:val="28"/>
        </w:rPr>
        <w:t>年</w:t>
      </w:r>
      <w:r>
        <w:rPr>
          <w:rFonts w:hint="eastAsia" w:ascii="仿宋" w:hAnsi="仿宋" w:eastAsia="仿宋"/>
          <w:sz w:val="28"/>
          <w:szCs w:val="28"/>
          <w:lang w:eastAsia="zh-CN"/>
        </w:rPr>
        <w:t>度</w:t>
      </w:r>
      <w:r>
        <w:rPr>
          <w:rFonts w:hint="eastAsia" w:ascii="仿宋" w:hAnsi="仿宋" w:eastAsia="仿宋"/>
          <w:sz w:val="28"/>
          <w:szCs w:val="28"/>
        </w:rPr>
        <w:t>总支出</w:t>
      </w:r>
      <w:r>
        <w:rPr>
          <w:rFonts w:hint="eastAsia" w:ascii="宋体" w:hAnsi="宋体" w:cs="仿宋"/>
          <w:bCs/>
          <w:sz w:val="28"/>
          <w:szCs w:val="28"/>
        </w:rPr>
        <w:t>1223</w:t>
      </w:r>
      <w:r>
        <w:rPr>
          <w:rFonts w:hint="eastAsia" w:ascii="宋体" w:hAnsi="宋体" w:cs="仿宋"/>
          <w:bCs/>
          <w:sz w:val="28"/>
          <w:szCs w:val="28"/>
          <w:lang w:val="en-US" w:eastAsia="zh-CN"/>
        </w:rPr>
        <w:t>.</w:t>
      </w:r>
      <w:r>
        <w:rPr>
          <w:rFonts w:hint="eastAsia" w:ascii="宋体" w:hAnsi="宋体" w:cs="仿宋"/>
          <w:bCs/>
          <w:sz w:val="28"/>
          <w:szCs w:val="28"/>
        </w:rPr>
        <w:t>16</w:t>
      </w:r>
      <w:r>
        <w:rPr>
          <w:rFonts w:hint="eastAsia" w:ascii="仿宋" w:hAnsi="仿宋" w:eastAsia="仿宋"/>
          <w:sz w:val="28"/>
          <w:szCs w:val="28"/>
        </w:rPr>
        <w:t>万元</w:t>
      </w:r>
      <w:r>
        <w:rPr>
          <w:rFonts w:hint="eastAsia" w:ascii="仿宋" w:hAnsi="仿宋" w:eastAsia="仿宋"/>
          <w:sz w:val="28"/>
          <w:szCs w:val="28"/>
          <w:lang w:val="en-US" w:eastAsia="zh-CN"/>
        </w:rPr>
        <w:t>,其中：基本支出</w:t>
      </w:r>
      <w:r>
        <w:rPr>
          <w:rFonts w:hint="eastAsia" w:ascii="宋体" w:hAnsi="宋体" w:eastAsia="宋体" w:cs="仿宋"/>
          <w:bCs/>
          <w:color w:val="auto"/>
          <w:kern w:val="2"/>
          <w:sz w:val="28"/>
          <w:szCs w:val="28"/>
          <w:lang w:val="en-US" w:eastAsia="zh-CN" w:bidi="ar-SA"/>
        </w:rPr>
        <w:t>613.95</w:t>
      </w:r>
      <w:r>
        <w:rPr>
          <w:rFonts w:hint="eastAsia" w:ascii="仿宋" w:hAnsi="仿宋" w:eastAsia="仿宋"/>
          <w:sz w:val="28"/>
          <w:szCs w:val="28"/>
          <w:lang w:val="en-US" w:eastAsia="zh-CN"/>
        </w:rPr>
        <w:t>万元，占</w:t>
      </w:r>
      <w:r>
        <w:rPr>
          <w:rFonts w:hint="eastAsia" w:ascii="宋体" w:hAnsi="宋体" w:eastAsia="宋体" w:cs="仿宋"/>
          <w:bCs/>
          <w:color w:val="auto"/>
          <w:kern w:val="2"/>
          <w:sz w:val="28"/>
          <w:szCs w:val="28"/>
          <w:lang w:val="en-US" w:eastAsia="zh-CN" w:bidi="ar-SA"/>
        </w:rPr>
        <w:t>50.2</w:t>
      </w:r>
      <w:r>
        <w:rPr>
          <w:rFonts w:hint="eastAsia" w:ascii="仿宋" w:hAnsi="仿宋" w:eastAsia="仿宋"/>
          <w:sz w:val="28"/>
          <w:szCs w:val="28"/>
          <w:lang w:val="en-US" w:eastAsia="zh-CN"/>
        </w:rPr>
        <w:t>%，其中</w:t>
      </w:r>
      <w:r>
        <w:rPr>
          <w:rFonts w:hint="eastAsia" w:ascii="仿宋" w:hAnsi="仿宋" w:eastAsia="仿宋"/>
          <w:sz w:val="28"/>
          <w:szCs w:val="28"/>
        </w:rPr>
        <w:t>工资福利支出</w:t>
      </w:r>
      <w:r>
        <w:rPr>
          <w:rFonts w:hint="eastAsia" w:ascii="仿宋" w:hAnsi="仿宋" w:eastAsia="仿宋"/>
          <w:sz w:val="28"/>
          <w:szCs w:val="28"/>
          <w:lang w:val="en-US" w:eastAsia="zh-CN"/>
        </w:rPr>
        <w:t>596.12</w:t>
      </w:r>
      <w:r>
        <w:rPr>
          <w:rFonts w:hint="eastAsia" w:ascii="仿宋" w:hAnsi="仿宋" w:eastAsia="仿宋"/>
          <w:sz w:val="28"/>
          <w:szCs w:val="28"/>
        </w:rPr>
        <w:t>万元</w:t>
      </w:r>
      <w:r>
        <w:rPr>
          <w:rFonts w:hint="eastAsia" w:ascii="仿宋" w:hAnsi="仿宋" w:eastAsia="仿宋"/>
          <w:sz w:val="28"/>
          <w:szCs w:val="28"/>
          <w:lang w:eastAsia="zh-CN"/>
        </w:rPr>
        <w:t>、</w:t>
      </w:r>
      <w:r>
        <w:rPr>
          <w:rFonts w:hint="eastAsia" w:ascii="仿宋" w:hAnsi="仿宋" w:eastAsia="仿宋"/>
          <w:sz w:val="28"/>
          <w:szCs w:val="28"/>
        </w:rPr>
        <w:t>商品和服务支出</w:t>
      </w:r>
      <w:r>
        <w:rPr>
          <w:rFonts w:hint="eastAsia" w:ascii="仿宋" w:hAnsi="仿宋" w:eastAsia="仿宋"/>
          <w:sz w:val="28"/>
          <w:szCs w:val="28"/>
          <w:lang w:val="en-US" w:eastAsia="zh-CN"/>
        </w:rPr>
        <w:t>1.32</w:t>
      </w:r>
      <w:r>
        <w:rPr>
          <w:rFonts w:hint="eastAsia" w:ascii="仿宋" w:hAnsi="仿宋" w:eastAsia="仿宋"/>
          <w:sz w:val="28"/>
          <w:szCs w:val="28"/>
        </w:rPr>
        <w:t>万元</w:t>
      </w:r>
      <w:r>
        <w:rPr>
          <w:rFonts w:hint="eastAsia" w:ascii="仿宋" w:hAnsi="仿宋" w:eastAsia="仿宋"/>
          <w:sz w:val="28"/>
          <w:szCs w:val="28"/>
          <w:lang w:eastAsia="zh-CN"/>
        </w:rPr>
        <w:t>、对个人和家庭的补助</w:t>
      </w:r>
      <w:r>
        <w:rPr>
          <w:rFonts w:hint="eastAsia" w:ascii="仿宋" w:hAnsi="仿宋" w:eastAsia="仿宋"/>
          <w:sz w:val="28"/>
          <w:szCs w:val="28"/>
          <w:lang w:val="en-US" w:eastAsia="zh-CN"/>
        </w:rPr>
        <w:t>16.5万元；项目支出609.21万元，占49.8%，其中一般行政管理事务554.18万元、其他人大事务支出53.77万元，派驻派出机构支出1.27万元。</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（四）部门绩效目标</w:t>
      </w:r>
    </w:p>
    <w:p>
      <w:pPr>
        <w:pStyle w:val="8"/>
        <w:tabs>
          <w:tab w:val="left" w:pos="420"/>
        </w:tabs>
        <w:spacing w:beforeAutospacing="0" w:afterAutospacing="0" w:line="360" w:lineRule="auto"/>
        <w:ind w:firstLine="560" w:firstLineChars="200"/>
        <w:rPr>
          <w:rFonts w:hint="eastAsia"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hint="eastAsia" w:ascii="仿宋" w:hAnsi="仿宋" w:eastAsia="仿宋"/>
          <w:sz w:val="28"/>
          <w:szCs w:val="28"/>
        </w:rPr>
        <w:t>年，市人大常委会以习近平新时代中国特色社会主义思想为指导，全面贯彻党的</w:t>
      </w:r>
      <w:r>
        <w:rPr>
          <w:rFonts w:hint="eastAsia" w:ascii="仿宋" w:hAnsi="仿宋" w:eastAsia="仿宋"/>
          <w:sz w:val="28"/>
          <w:szCs w:val="28"/>
          <w:lang w:eastAsia="zh-CN"/>
        </w:rPr>
        <w:t>二十</w:t>
      </w:r>
      <w:r>
        <w:rPr>
          <w:rFonts w:hint="eastAsia" w:ascii="仿宋" w:hAnsi="仿宋" w:eastAsia="仿宋"/>
          <w:sz w:val="28"/>
          <w:szCs w:val="28"/>
        </w:rPr>
        <w:t>大精神和习近平总书记关于坚持和完善人民代表大会制度重要思想，服从服务大局，依法履职尽责，圆满完成了年初确定的各项目标任务。全年共</w:t>
      </w:r>
      <w:r>
        <w:rPr>
          <w:rFonts w:hint="eastAsia" w:ascii="仿宋" w:hAnsi="仿宋" w:eastAsia="仿宋"/>
          <w:sz w:val="28"/>
          <w:szCs w:val="28"/>
          <w:lang w:eastAsia="zh-CN"/>
        </w:rPr>
        <w:t>召开代表大会</w:t>
      </w:r>
      <w:r>
        <w:rPr>
          <w:rFonts w:hint="eastAsia" w:ascii="仿宋" w:hAnsi="仿宋" w:eastAsia="仿宋"/>
          <w:sz w:val="28"/>
          <w:szCs w:val="28"/>
          <w:lang w:val="en-US" w:eastAsia="zh-CN"/>
        </w:rPr>
        <w:t>1次，开展执法检查、代表调研、代表视察等活动50多次，召开主任会议和常委会会议30多次，代表联系群众4000多人次，全体代表集中培训2次，圆满完成了代表大会，</w:t>
      </w:r>
      <w:r>
        <w:rPr>
          <w:rFonts w:hint="eastAsia" w:ascii="仿宋" w:hAnsi="仿宋" w:eastAsia="仿宋"/>
          <w:sz w:val="28"/>
          <w:szCs w:val="28"/>
        </w:rPr>
        <w:t>常委会</w:t>
      </w:r>
      <w:r>
        <w:rPr>
          <w:rFonts w:hint="eastAsia" w:ascii="仿宋" w:hAnsi="仿宋" w:eastAsia="仿宋"/>
          <w:sz w:val="28"/>
          <w:szCs w:val="28"/>
          <w:lang w:eastAsia="zh-CN"/>
        </w:rPr>
        <w:t>、专委会</w:t>
      </w:r>
      <w:r>
        <w:rPr>
          <w:rFonts w:hint="eastAsia" w:ascii="仿宋" w:hAnsi="仿宋" w:eastAsia="仿宋"/>
          <w:sz w:val="28"/>
          <w:szCs w:val="28"/>
        </w:rPr>
        <w:t>各项工作取得了新成效。</w:t>
      </w:r>
    </w:p>
    <w:p>
      <w:pPr>
        <w:pStyle w:val="8"/>
        <w:tabs>
          <w:tab w:val="left" w:pos="420"/>
        </w:tabs>
        <w:spacing w:beforeAutospacing="0" w:afterAutospacing="0" w:line="360" w:lineRule="auto"/>
        <w:ind w:firstLine="562" w:firstLineChars="200"/>
        <w:rPr>
          <w:rFonts w:hint="eastAsia" w:ascii="仿宋" w:hAnsi="仿宋" w:eastAsia="仿宋"/>
          <w:b/>
          <w:sz w:val="28"/>
          <w:szCs w:val="28"/>
          <w:lang w:eastAsia="zh-CN"/>
        </w:rPr>
      </w:pPr>
      <w:r>
        <w:rPr>
          <w:rFonts w:hint="eastAsia" w:ascii="仿宋" w:hAnsi="仿宋" w:eastAsia="仿宋"/>
          <w:b/>
          <w:sz w:val="28"/>
          <w:szCs w:val="28"/>
          <w:lang w:val="en-US" w:eastAsia="zh-CN"/>
        </w:rPr>
        <w:t>1</w:t>
      </w:r>
      <w:r>
        <w:rPr>
          <w:rFonts w:hint="eastAsia" w:ascii="仿宋" w:hAnsi="仿宋" w:eastAsia="仿宋"/>
          <w:b/>
          <w:sz w:val="28"/>
          <w:szCs w:val="28"/>
        </w:rPr>
        <w:t>、</w:t>
      </w:r>
      <w:r>
        <w:rPr>
          <w:rFonts w:hint="default" w:ascii="仿宋" w:hAnsi="仿宋" w:eastAsia="仿宋" w:cs="宋体"/>
          <w:b/>
          <w:kern w:val="0"/>
          <w:sz w:val="28"/>
          <w:szCs w:val="28"/>
          <w:lang w:val="en-US" w:eastAsia="zh-CN" w:bidi="ar-SA"/>
        </w:rPr>
        <w:t>坚持党的全面领导，在把准政治方向中牢记人大使命</w:t>
      </w:r>
    </w:p>
    <w:p>
      <w:pPr>
        <w:pStyle w:val="8"/>
        <w:tabs>
          <w:tab w:val="left" w:pos="420"/>
        </w:tabs>
        <w:spacing w:beforeAutospacing="0" w:afterAutospacing="0" w:line="360" w:lineRule="auto"/>
        <w:ind w:firstLine="560" w:firstLineChars="200"/>
        <w:rPr>
          <w:rFonts w:hint="eastAsia" w:ascii="仿宋" w:hAnsi="仿宋" w:eastAsia="仿宋" w:cs="宋体"/>
          <w:sz w:val="28"/>
          <w:szCs w:val="28"/>
          <w:lang w:val="en-US" w:eastAsia="zh-CN"/>
        </w:rPr>
      </w:pPr>
      <w:r>
        <w:rPr>
          <w:rFonts w:hint="default" w:ascii="仿宋" w:hAnsi="仿宋" w:eastAsia="仿宋" w:cs="宋体"/>
          <w:sz w:val="28"/>
          <w:szCs w:val="28"/>
          <w:lang w:val="en-US" w:eastAsia="zh-CN"/>
        </w:rPr>
        <w:t>注重深学笃行，强化政治同向，始终把党的领导作为人大坚定不移的政治坐标，贯穿人大工作全领域、全过程。</w:t>
      </w:r>
    </w:p>
    <w:p>
      <w:pPr>
        <w:pStyle w:val="8"/>
        <w:numPr>
          <w:ilvl w:val="0"/>
          <w:numId w:val="1"/>
        </w:numPr>
        <w:tabs>
          <w:tab w:val="left" w:pos="420"/>
        </w:tabs>
        <w:spacing w:beforeAutospacing="0" w:afterAutospacing="0" w:line="360" w:lineRule="auto"/>
        <w:ind w:firstLine="562" w:firstLineChars="200"/>
        <w:rPr>
          <w:rFonts w:hint="default" w:ascii="仿宋" w:hAnsi="仿宋" w:eastAsia="仿宋" w:cs="Times New Roman"/>
          <w:b/>
          <w:kern w:val="0"/>
          <w:sz w:val="28"/>
          <w:szCs w:val="28"/>
          <w:lang w:val="en-US" w:eastAsia="zh-CN" w:bidi="ar-SA"/>
        </w:rPr>
      </w:pPr>
      <w:r>
        <w:rPr>
          <w:rFonts w:hint="default" w:ascii="仿宋" w:hAnsi="仿宋" w:eastAsia="仿宋" w:cs="Times New Roman"/>
          <w:b/>
          <w:kern w:val="0"/>
          <w:sz w:val="28"/>
          <w:szCs w:val="28"/>
          <w:lang w:val="en-US" w:eastAsia="zh-CN" w:bidi="ar-SA"/>
        </w:rPr>
        <w:t>坚持紧扣中心大局，在服务高质量发展中展现人大担当</w:t>
      </w:r>
    </w:p>
    <w:p>
      <w:pPr>
        <w:pStyle w:val="8"/>
        <w:tabs>
          <w:tab w:val="left" w:pos="420"/>
        </w:tabs>
        <w:spacing w:beforeAutospacing="0" w:afterAutospacing="0" w:line="360" w:lineRule="auto"/>
        <w:ind w:firstLine="560" w:firstLineChars="200"/>
        <w:rPr>
          <w:rFonts w:hint="default" w:ascii="仿宋" w:hAnsi="仿宋" w:eastAsia="仿宋" w:cs="宋体"/>
          <w:sz w:val="28"/>
          <w:szCs w:val="28"/>
          <w:lang w:val="en-US" w:eastAsia="zh-CN"/>
        </w:rPr>
      </w:pPr>
      <w:r>
        <w:rPr>
          <w:rFonts w:hint="default" w:ascii="仿宋" w:hAnsi="仿宋" w:eastAsia="仿宋" w:cs="宋体"/>
          <w:sz w:val="28"/>
          <w:szCs w:val="28"/>
          <w:lang w:val="en-US" w:eastAsia="zh-CN"/>
        </w:rPr>
        <w:t>始终胸怀“国之大者”，努力做到全市工作重心在哪里，人大工作就跟进到哪里，人大作用就发挥到哪里，充分彰显维护核心、力促发展的政治担当。</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Fonts w:hint="eastAsia" w:ascii="仿宋" w:hAnsi="仿宋" w:eastAsia="仿宋" w:cs="宋体"/>
          <w:b/>
          <w:kern w:val="0"/>
          <w:sz w:val="28"/>
          <w:szCs w:val="28"/>
          <w:lang w:val="en-US" w:eastAsia="zh-CN" w:bidi="ar-SA"/>
        </w:rPr>
      </w:pPr>
      <w:r>
        <w:rPr>
          <w:rFonts w:hint="eastAsia" w:ascii="仿宋" w:hAnsi="仿宋" w:eastAsia="仿宋" w:cs="宋体"/>
          <w:b/>
          <w:kern w:val="0"/>
          <w:sz w:val="28"/>
          <w:szCs w:val="28"/>
          <w:lang w:val="en-US" w:eastAsia="zh-CN" w:bidi="ar-SA"/>
        </w:rPr>
        <w:t>3、</w:t>
      </w:r>
      <w:r>
        <w:rPr>
          <w:rFonts w:hint="default" w:ascii="仿宋" w:hAnsi="仿宋" w:eastAsia="仿宋" w:cs="宋体"/>
          <w:b/>
          <w:kern w:val="0"/>
          <w:sz w:val="28"/>
          <w:szCs w:val="28"/>
          <w:lang w:val="en-US" w:eastAsia="zh-CN" w:bidi="ar-SA"/>
        </w:rPr>
        <w:t>坚持全面依法治市，在推进良法善治中彰显人大力度</w:t>
      </w:r>
    </w:p>
    <w:p>
      <w:pPr>
        <w:pStyle w:val="8"/>
        <w:tabs>
          <w:tab w:val="left" w:pos="420"/>
        </w:tabs>
        <w:spacing w:beforeAutospacing="0" w:afterAutospacing="0" w:line="360" w:lineRule="auto"/>
        <w:ind w:firstLine="560" w:firstLineChars="200"/>
        <w:rPr>
          <w:rFonts w:hint="default" w:ascii="仿宋" w:hAnsi="仿宋" w:eastAsia="仿宋" w:cs="宋体"/>
          <w:sz w:val="28"/>
          <w:szCs w:val="28"/>
          <w:lang w:val="en-US" w:eastAsia="zh-CN"/>
        </w:rPr>
      </w:pPr>
      <w:r>
        <w:rPr>
          <w:rFonts w:hint="default" w:ascii="仿宋" w:hAnsi="仿宋" w:eastAsia="仿宋" w:cs="宋体"/>
          <w:sz w:val="28"/>
          <w:szCs w:val="28"/>
          <w:lang w:val="en-US" w:eastAsia="zh-CN"/>
        </w:rPr>
        <w:t>法治是最好的发展环境，是民生最有力的保障。常委会大力弘扬宪法精神、践行法治理念、凝聚法治共识，全面推进我市法治政府、法治社会一体化建设</w:t>
      </w:r>
      <w:r>
        <w:rPr>
          <w:rFonts w:hint="eastAsia" w:ascii="仿宋" w:hAnsi="仿宋" w:eastAsia="仿宋"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textAlignment w:val="auto"/>
        <w:rPr>
          <w:rStyle w:val="12"/>
          <w:rFonts w:hint="default" w:ascii="Times New Roman" w:hAnsi="Times New Roman" w:eastAsia="黑体" w:cs="Times New Roman"/>
          <w:b w:val="0"/>
          <w:bCs/>
          <w:i w:val="0"/>
          <w:caps w:val="0"/>
          <w:color w:val="auto"/>
          <w:spacing w:val="0"/>
          <w:sz w:val="32"/>
          <w:szCs w:val="32"/>
          <w:highlight w:val="none"/>
          <w:u w:val="none" w:color="auto"/>
          <w:lang w:val="en-US" w:eastAsia="zh-CN"/>
        </w:rPr>
      </w:pPr>
      <w:r>
        <w:rPr>
          <w:rFonts w:hint="eastAsia" w:ascii="仿宋" w:hAnsi="仿宋" w:eastAsia="仿宋"/>
          <w:b/>
          <w:sz w:val="28"/>
          <w:szCs w:val="28"/>
          <w:lang w:val="en-US" w:eastAsia="zh-CN"/>
        </w:rPr>
        <w:t>4</w:t>
      </w:r>
      <w:r>
        <w:rPr>
          <w:rFonts w:hint="eastAsia" w:ascii="仿宋" w:hAnsi="仿宋" w:eastAsia="仿宋"/>
          <w:b/>
          <w:sz w:val="28"/>
          <w:szCs w:val="28"/>
        </w:rPr>
        <w:t>、</w:t>
      </w:r>
      <w:r>
        <w:rPr>
          <w:rFonts w:hint="default" w:ascii="仿宋" w:hAnsi="仿宋" w:eastAsia="仿宋" w:cs="宋体"/>
          <w:b/>
          <w:kern w:val="0"/>
          <w:sz w:val="28"/>
          <w:szCs w:val="28"/>
          <w:lang w:val="en-US" w:eastAsia="zh-CN" w:bidi="ar-SA"/>
        </w:rPr>
        <w:t>坚持以人民为中心，在增进民生福祉中书写人大情怀</w:t>
      </w:r>
    </w:p>
    <w:p>
      <w:pPr>
        <w:pStyle w:val="8"/>
        <w:tabs>
          <w:tab w:val="left" w:pos="420"/>
        </w:tabs>
        <w:spacing w:beforeAutospacing="0" w:afterAutospacing="0" w:line="360" w:lineRule="auto"/>
        <w:ind w:firstLine="560" w:firstLineChars="200"/>
        <w:rPr>
          <w:rFonts w:hint="default" w:ascii="仿宋" w:hAnsi="仿宋" w:eastAsia="仿宋" w:cs="宋体"/>
          <w:sz w:val="28"/>
          <w:szCs w:val="28"/>
          <w:lang w:val="en-US" w:eastAsia="zh-CN"/>
        </w:rPr>
      </w:pPr>
      <w:r>
        <w:rPr>
          <w:rFonts w:hint="default" w:ascii="仿宋" w:hAnsi="仿宋" w:eastAsia="仿宋" w:cs="宋体"/>
          <w:sz w:val="28"/>
          <w:szCs w:val="28"/>
          <w:lang w:val="en-US" w:eastAsia="zh-CN"/>
        </w:rPr>
        <w:t>百姓所望，人大所向。人大工作的根基在人民，履职的归宿在人民。常委会紧盯群众最急最忧最盼的问题，以增强群众获得感、幸福感、安全感为己任，做到民有所呼、我有所应。</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仿宋" w:hAnsi="仿宋" w:eastAsia="仿宋" w:cs="宋体"/>
          <w:b/>
          <w:kern w:val="0"/>
          <w:sz w:val="28"/>
          <w:szCs w:val="28"/>
          <w:lang w:val="en-US" w:eastAsia="zh-CN" w:bidi="ar-SA"/>
        </w:rPr>
      </w:pPr>
      <w:r>
        <w:rPr>
          <w:rFonts w:hint="eastAsia" w:ascii="仿宋" w:hAnsi="仿宋" w:eastAsia="仿宋"/>
          <w:b/>
          <w:sz w:val="28"/>
          <w:szCs w:val="28"/>
          <w:lang w:val="en-US" w:eastAsia="zh-CN"/>
        </w:rPr>
        <w:t>5</w:t>
      </w:r>
      <w:r>
        <w:rPr>
          <w:rFonts w:hint="eastAsia" w:ascii="仿宋" w:hAnsi="仿宋" w:eastAsia="仿宋"/>
          <w:b/>
          <w:sz w:val="28"/>
          <w:szCs w:val="28"/>
        </w:rPr>
        <w:t>、</w:t>
      </w:r>
      <w:r>
        <w:rPr>
          <w:rFonts w:hint="default" w:ascii="仿宋" w:hAnsi="仿宋" w:eastAsia="仿宋" w:cs="宋体"/>
          <w:b/>
          <w:kern w:val="0"/>
          <w:sz w:val="28"/>
          <w:szCs w:val="28"/>
          <w:lang w:val="en-US" w:eastAsia="zh-CN" w:bidi="ar-SA"/>
        </w:rPr>
        <w:t>坚持代表主体地位，在践行全过程人民民主中释放人大活力</w:t>
      </w:r>
    </w:p>
    <w:p>
      <w:pPr>
        <w:pStyle w:val="8"/>
        <w:tabs>
          <w:tab w:val="left" w:pos="420"/>
        </w:tabs>
        <w:spacing w:beforeAutospacing="0" w:afterAutospacing="0" w:line="360" w:lineRule="auto"/>
        <w:ind w:firstLine="560" w:firstLineChars="200"/>
        <w:rPr>
          <w:rFonts w:hint="default" w:ascii="仿宋" w:hAnsi="仿宋" w:eastAsia="仿宋" w:cs="宋体"/>
          <w:sz w:val="28"/>
          <w:szCs w:val="28"/>
          <w:lang w:val="en-US" w:eastAsia="zh-CN"/>
        </w:rPr>
      </w:pPr>
      <w:r>
        <w:rPr>
          <w:rFonts w:hint="default" w:ascii="仿宋" w:hAnsi="仿宋" w:eastAsia="仿宋" w:cs="宋体"/>
          <w:sz w:val="28"/>
          <w:szCs w:val="28"/>
          <w:lang w:val="en-US" w:eastAsia="zh-CN"/>
        </w:rPr>
        <w:t>牢记习近平总书记关于“人大代表要更加密切联系群众”殷殷嘱托，紧紧依靠人大代表做好人大工作，激励和引导代表为民代言，更好地接地气、察民情、聚民智、惠民生。</w:t>
      </w:r>
    </w:p>
    <w:p>
      <w:pPr>
        <w:keepNext w:val="0"/>
        <w:keepLines w:val="0"/>
        <w:pageBreakBefore w:val="0"/>
        <w:widowControl w:val="0"/>
        <w:kinsoku/>
        <w:wordWrap/>
        <w:overflowPunct/>
        <w:topLinePunct w:val="0"/>
        <w:autoSpaceDE/>
        <w:autoSpaceDN/>
        <w:bidi w:val="0"/>
        <w:adjustRightInd/>
        <w:snapToGrid/>
        <w:spacing w:line="580" w:lineRule="exact"/>
        <w:ind w:firstLine="596" w:firstLineChars="200"/>
        <w:textAlignment w:val="auto"/>
        <w:rPr>
          <w:rFonts w:hint="default" w:ascii="仿宋" w:hAnsi="仿宋" w:eastAsia="仿宋" w:cs="宋体"/>
          <w:b/>
          <w:kern w:val="0"/>
          <w:sz w:val="28"/>
          <w:szCs w:val="28"/>
          <w:lang w:val="en-US" w:eastAsia="zh-CN" w:bidi="ar-SA"/>
        </w:rPr>
      </w:pPr>
      <w:r>
        <w:rPr>
          <w:rStyle w:val="12"/>
          <w:rFonts w:hint="eastAsia" w:ascii="Times New Roman" w:hAnsi="Times New Roman" w:eastAsia="黑体" w:cs="Times New Roman"/>
          <w:b w:val="0"/>
          <w:bCs/>
          <w:i w:val="0"/>
          <w:caps w:val="0"/>
          <w:color w:val="auto"/>
          <w:spacing w:val="-11"/>
          <w:sz w:val="32"/>
          <w:szCs w:val="32"/>
          <w:highlight w:val="none"/>
          <w:u w:val="none" w:color="auto"/>
          <w:lang w:val="en-US" w:eastAsia="zh-CN"/>
        </w:rPr>
        <w:t>6、</w:t>
      </w:r>
      <w:r>
        <w:rPr>
          <w:rFonts w:hint="default" w:ascii="仿宋" w:hAnsi="仿宋" w:eastAsia="仿宋" w:cs="宋体"/>
          <w:b/>
          <w:kern w:val="0"/>
          <w:sz w:val="28"/>
          <w:szCs w:val="28"/>
          <w:lang w:val="en-US" w:eastAsia="zh-CN" w:bidi="ar-SA"/>
        </w:rPr>
        <w:t>坚持“四个机关”定位，在强化自身建设中展示人大风采</w:t>
      </w:r>
    </w:p>
    <w:p>
      <w:pPr>
        <w:pStyle w:val="8"/>
        <w:tabs>
          <w:tab w:val="left" w:pos="420"/>
        </w:tabs>
        <w:spacing w:beforeAutospacing="0" w:afterAutospacing="0" w:line="360" w:lineRule="auto"/>
        <w:ind w:firstLine="560" w:firstLineChars="200"/>
        <w:rPr>
          <w:rFonts w:hint="default" w:ascii="Times New Roman" w:hAnsi="Times New Roman" w:eastAsia="仿宋_GB2312" w:cs="Times New Roman"/>
          <w:bCs/>
          <w:color w:val="auto"/>
          <w:spacing w:val="0"/>
          <w:sz w:val="32"/>
          <w:szCs w:val="32"/>
          <w:highlight w:val="none"/>
          <w:u w:val="none" w:color="auto"/>
          <w:lang w:val="en-US" w:eastAsia="zh-CN"/>
        </w:rPr>
      </w:pPr>
      <w:r>
        <w:rPr>
          <w:rFonts w:hint="default" w:ascii="仿宋" w:hAnsi="仿宋" w:eastAsia="仿宋" w:cs="宋体"/>
          <w:sz w:val="28"/>
          <w:szCs w:val="28"/>
          <w:lang w:val="en-US" w:eastAsia="zh-CN"/>
        </w:rPr>
        <w:t>始终保持在一线、在状态、在路上的精气神，以建设“四个机关”为统揽，以优化干部作风为重点，完善工作机制，打造过硬队伍，切实提升依法履职能力。</w:t>
      </w:r>
    </w:p>
    <w:p>
      <w:pPr>
        <w:ind w:left="0" w:leftChars="0" w:firstLine="440" w:firstLineChars="137"/>
        <w:rPr>
          <w:rFonts w:ascii="黑体" w:eastAsia="黑体"/>
          <w:b/>
          <w:bCs/>
          <w:sz w:val="32"/>
          <w:szCs w:val="32"/>
        </w:rPr>
      </w:pPr>
      <w:r>
        <w:rPr>
          <w:rFonts w:hint="eastAsia" w:ascii="黑体" w:eastAsia="黑体"/>
          <w:b/>
          <w:bCs/>
          <w:sz w:val="32"/>
          <w:szCs w:val="32"/>
        </w:rPr>
        <w:t>二、绩效评价工作情况</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（一）绩效评价目的</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通过对</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hint="eastAsia" w:ascii="仿宋" w:hAnsi="仿宋" w:eastAsia="仿宋"/>
          <w:sz w:val="28"/>
          <w:szCs w:val="28"/>
        </w:rPr>
        <w:t>年的预算配置、预算管理、资产管理、职责履行、履职效益等内部的绩效考评，提高财政资金的使用效率，为财政部门预算管理提供决策依据。</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（二）绩效评价原则、评价指标体系、评价方法、评价依据</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、绩效评价原则：绩效评价过程中遵循程序客观公正、操作简便高效、结果横向可比原则。</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、绩效指标体系：在市财政局制定的共性指标体系基础上，根据我镇实际情况进行调整细化，具体见附表。</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、绩效评价方法：主要采用产出效益分析法、比较法、因素分析法等。</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、绩效评价依据：</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）《关于全市所有行政事业单位整体绩效评价及重点项目绩效评价的通知》</w:t>
      </w:r>
      <w:r>
        <w:rPr>
          <w:rFonts w:ascii="仿宋" w:hAnsi="仿宋" w:eastAsia="仿宋"/>
          <w:sz w:val="28"/>
          <w:szCs w:val="28"/>
        </w:rPr>
        <w:t>[</w:t>
      </w:r>
      <w:r>
        <w:rPr>
          <w:rFonts w:hint="eastAsia" w:ascii="仿宋" w:hAnsi="仿宋" w:eastAsia="仿宋"/>
          <w:sz w:val="28"/>
          <w:szCs w:val="28"/>
        </w:rPr>
        <w:t>常财绩（</w:t>
      </w:r>
      <w:r>
        <w:rPr>
          <w:rFonts w:ascii="仿宋" w:hAnsi="仿宋" w:eastAsia="仿宋"/>
          <w:sz w:val="28"/>
          <w:szCs w:val="28"/>
        </w:rPr>
        <w:t>20</w:t>
      </w:r>
      <w:r>
        <w:rPr>
          <w:rFonts w:hint="eastAsia" w:ascii="仿宋" w:hAnsi="仿宋" w:eastAsia="仿宋"/>
          <w:sz w:val="28"/>
          <w:szCs w:val="28"/>
          <w:lang w:val="en-US" w:eastAsia="zh-CN"/>
        </w:rPr>
        <w:t>19</w:t>
      </w:r>
      <w:r>
        <w:rPr>
          <w:rFonts w:hint="eastAsia" w:ascii="仿宋" w:hAnsi="仿宋" w:eastAsia="仿宋"/>
          <w:sz w:val="28"/>
          <w:szCs w:val="28"/>
        </w:rPr>
        <w:t>）</w:t>
      </w:r>
      <w:r>
        <w:rPr>
          <w:rFonts w:ascii="仿宋" w:hAnsi="仿宋" w:eastAsia="仿宋"/>
          <w:sz w:val="28"/>
          <w:szCs w:val="28"/>
        </w:rPr>
        <w:t>57</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w:t>
      </w: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hint="eastAsia" w:ascii="仿宋" w:hAnsi="仿宋" w:eastAsia="仿宋"/>
          <w:sz w:val="28"/>
          <w:szCs w:val="28"/>
        </w:rPr>
        <w:t>年决算报表等财务资料、工作总结、整体支出绩效评价自评等资料。</w:t>
      </w:r>
    </w:p>
    <w:p>
      <w:pPr>
        <w:ind w:left="0" w:leftChars="0" w:firstLine="661" w:firstLineChars="206"/>
        <w:rPr>
          <w:rFonts w:ascii="黑体" w:eastAsia="黑体"/>
          <w:b/>
          <w:bCs/>
          <w:sz w:val="32"/>
          <w:szCs w:val="32"/>
        </w:rPr>
      </w:pPr>
      <w:r>
        <w:rPr>
          <w:rFonts w:ascii="黑体" w:eastAsia="黑体"/>
          <w:b/>
          <w:bCs/>
          <w:sz w:val="32"/>
          <w:szCs w:val="32"/>
        </w:rPr>
        <w:t xml:space="preserve"> </w:t>
      </w:r>
      <w:r>
        <w:rPr>
          <w:rFonts w:hint="eastAsia" w:ascii="黑体" w:eastAsia="黑体"/>
          <w:b/>
          <w:bCs/>
          <w:sz w:val="32"/>
          <w:szCs w:val="32"/>
        </w:rPr>
        <w:t>三、评价结论及建议</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（一）评价结论</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lang w:eastAsia="zh-CN"/>
        </w:rPr>
        <w:t>202</w:t>
      </w:r>
      <w:r>
        <w:rPr>
          <w:rFonts w:hint="eastAsia" w:ascii="仿宋" w:hAnsi="仿宋" w:eastAsia="仿宋"/>
          <w:sz w:val="28"/>
          <w:szCs w:val="28"/>
          <w:lang w:val="en-US" w:eastAsia="zh-CN"/>
        </w:rPr>
        <w:t>2</w:t>
      </w:r>
      <w:r>
        <w:rPr>
          <w:rFonts w:hint="eastAsia" w:ascii="仿宋" w:hAnsi="仿宋" w:eastAsia="仿宋"/>
          <w:sz w:val="28"/>
          <w:szCs w:val="28"/>
        </w:rPr>
        <w:t>年，本单位及时、准确完成预算编制；并以财政所得的预算方案执行，规范内部控制和支出管理规范，未出现因违规支出受到相关部门批评或处理的情况；内部控制和财务管理制度完善，会计核算和账务处理规范及时，会计资料完整。基本支出确保了工资、津贴等各项福利待遇和机关正常运转的需要；项目开支依据和标准符合相关规定，实施过程中能够严格执行相关制度规定，按目标数量及质量按时完工，基本实现了项目设计功能。</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（二）存在的问题</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hint="eastAsia" w:ascii="仿宋" w:hAnsi="仿宋" w:eastAsia="仿宋"/>
          <w:sz w:val="28"/>
          <w:szCs w:val="28"/>
        </w:rPr>
        <w:t>通过有效的管理和控制，充分发挥了财政资金的效益，但仍存在一些不足：</w:t>
      </w:r>
      <w:r>
        <w:rPr>
          <w:rFonts w:ascii="仿宋" w:hAnsi="仿宋" w:eastAsia="仿宋"/>
          <w:sz w:val="28"/>
          <w:szCs w:val="28"/>
        </w:rPr>
        <w:t>1</w:t>
      </w:r>
      <w:r>
        <w:rPr>
          <w:rFonts w:hint="eastAsia" w:ascii="仿宋" w:hAnsi="仿宋" w:eastAsia="仿宋"/>
          <w:sz w:val="28"/>
          <w:szCs w:val="28"/>
        </w:rPr>
        <w:t>、预算准确率有待提高，</w:t>
      </w:r>
      <w:r>
        <w:rPr>
          <w:rFonts w:hint="eastAsia" w:ascii="仿宋" w:hAnsi="仿宋" w:eastAsia="仿宋"/>
          <w:sz w:val="28"/>
          <w:szCs w:val="28"/>
          <w:lang w:val="en-US" w:eastAsia="zh-CN"/>
        </w:rPr>
        <w:t>部分财政预算标准不符合实际，导致基本支出预算不足</w:t>
      </w: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、预算执行情况有待提高，存在经费混合的情况</w:t>
      </w:r>
      <w:r>
        <w:rPr>
          <w:rFonts w:hint="eastAsia" w:ascii="仿宋" w:hAnsi="仿宋" w:eastAsia="仿宋"/>
          <w:sz w:val="28"/>
          <w:szCs w:val="28"/>
          <w:lang w:eastAsia="zh-CN"/>
        </w:rPr>
        <w:t>，</w:t>
      </w:r>
      <w:r>
        <w:rPr>
          <w:rFonts w:hint="eastAsia" w:ascii="仿宋" w:hAnsi="仿宋" w:eastAsia="仿宋"/>
          <w:sz w:val="28"/>
          <w:szCs w:val="28"/>
        </w:rPr>
        <w:t>难以保证专款专用。</w:t>
      </w: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sz w:val="28"/>
          <w:szCs w:val="28"/>
          <w:lang w:eastAsia="zh-CN"/>
        </w:rPr>
        <w:t>财政资金紧张，支付不及时。</w:t>
      </w:r>
    </w:p>
    <w:p>
      <w:pPr>
        <w:pStyle w:val="8"/>
        <w:tabs>
          <w:tab w:val="left" w:pos="420"/>
        </w:tabs>
        <w:spacing w:beforeAutospacing="0" w:afterAutospacing="0" w:line="360" w:lineRule="auto"/>
        <w:ind w:firstLine="562" w:firstLineChars="200"/>
        <w:rPr>
          <w:b/>
          <w:bCs/>
          <w:sz w:val="28"/>
          <w:szCs w:val="28"/>
        </w:rPr>
      </w:pPr>
      <w:r>
        <w:rPr>
          <w:rFonts w:hint="eastAsia"/>
          <w:b/>
          <w:bCs/>
          <w:sz w:val="28"/>
          <w:szCs w:val="28"/>
        </w:rPr>
        <w:t>（三）改进措施和有关建议</w:t>
      </w:r>
    </w:p>
    <w:p>
      <w:pPr>
        <w:pStyle w:val="8"/>
        <w:tabs>
          <w:tab w:val="left" w:pos="420"/>
        </w:tabs>
        <w:spacing w:beforeAutospacing="0" w:afterAutospacing="0"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、提高预算编制的准确度，既要保证节约又要保证刚性支出的安排到位。</w:t>
      </w:r>
      <w:r>
        <w:rPr>
          <w:rFonts w:ascii="仿宋" w:hAnsi="仿宋" w:eastAsia="仿宋"/>
          <w:sz w:val="28"/>
          <w:szCs w:val="28"/>
        </w:rPr>
        <w:t>2</w:t>
      </w:r>
      <w:r>
        <w:rPr>
          <w:rFonts w:hint="eastAsia" w:ascii="仿宋" w:hAnsi="仿宋" w:eastAsia="仿宋"/>
          <w:sz w:val="28"/>
          <w:szCs w:val="28"/>
        </w:rPr>
        <w:t>、加强对预算执行的控制力度，杜绝预算外费用和项目的支出。</w:t>
      </w:r>
      <w:r>
        <w:rPr>
          <w:rFonts w:ascii="仿宋" w:hAnsi="仿宋" w:eastAsia="仿宋"/>
          <w:sz w:val="28"/>
          <w:szCs w:val="28"/>
        </w:rPr>
        <w:t>3</w:t>
      </w:r>
      <w:r>
        <w:rPr>
          <w:rFonts w:hint="eastAsia" w:ascii="仿宋" w:hAnsi="仿宋" w:eastAsia="仿宋"/>
          <w:sz w:val="28"/>
          <w:szCs w:val="28"/>
        </w:rPr>
        <w:t>、加强财政资金的日常调度，确保做到专款专用。</w:t>
      </w:r>
      <w:r>
        <w:rPr>
          <w:rFonts w:ascii="仿宋" w:hAnsi="仿宋" w:eastAsia="仿宋"/>
          <w:sz w:val="28"/>
          <w:szCs w:val="28"/>
        </w:rPr>
        <w:t>4</w:t>
      </w:r>
      <w:r>
        <w:rPr>
          <w:rFonts w:hint="eastAsia" w:ascii="仿宋" w:hAnsi="仿宋" w:eastAsia="仿宋"/>
          <w:sz w:val="28"/>
          <w:szCs w:val="28"/>
        </w:rPr>
        <w:t>、强化平时的资金绩效管理，形成自觉评价机制。</w:t>
      </w:r>
    </w:p>
    <w:sectPr>
      <w:footerReference r:id="rId3" w:type="default"/>
      <w:footerReference r:id="rId4" w:type="even"/>
      <w:pgSz w:w="11906" w:h="16838"/>
      <w:pgMar w:top="1440" w:right="1701" w:bottom="1440"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5</w:t>
    </w:r>
    <w:r>
      <w:rPr>
        <w:rStyle w:val="13"/>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EBEDF"/>
    <w:multiLevelType w:val="singleLevel"/>
    <w:tmpl w:val="BB3EBED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720"/>
  <w:drawingGridHorizontalSpacing w:val="110"/>
  <w:displayHorizontalDrawingGridEvery w:val="2"/>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F44"/>
    <w:rsid w:val="000114AE"/>
    <w:rsid w:val="0003744F"/>
    <w:rsid w:val="000832F0"/>
    <w:rsid w:val="00130135"/>
    <w:rsid w:val="00170E12"/>
    <w:rsid w:val="001D09B5"/>
    <w:rsid w:val="001E5214"/>
    <w:rsid w:val="001F7FC4"/>
    <w:rsid w:val="002176C3"/>
    <w:rsid w:val="00225072"/>
    <w:rsid w:val="002441A3"/>
    <w:rsid w:val="00254E93"/>
    <w:rsid w:val="002E6EC7"/>
    <w:rsid w:val="002F2748"/>
    <w:rsid w:val="002F747C"/>
    <w:rsid w:val="0031261A"/>
    <w:rsid w:val="00315790"/>
    <w:rsid w:val="00323B43"/>
    <w:rsid w:val="00350336"/>
    <w:rsid w:val="00365CA1"/>
    <w:rsid w:val="003747E6"/>
    <w:rsid w:val="00397CA8"/>
    <w:rsid w:val="003B7B17"/>
    <w:rsid w:val="003C5ECC"/>
    <w:rsid w:val="003D37D8"/>
    <w:rsid w:val="003D48F5"/>
    <w:rsid w:val="003F757C"/>
    <w:rsid w:val="00422A83"/>
    <w:rsid w:val="00426133"/>
    <w:rsid w:val="004358AB"/>
    <w:rsid w:val="00447D9F"/>
    <w:rsid w:val="00450B63"/>
    <w:rsid w:val="00483821"/>
    <w:rsid w:val="004B1C50"/>
    <w:rsid w:val="004B6A2A"/>
    <w:rsid w:val="00526575"/>
    <w:rsid w:val="005553F1"/>
    <w:rsid w:val="00562734"/>
    <w:rsid w:val="005A0E14"/>
    <w:rsid w:val="005A39CE"/>
    <w:rsid w:val="005B7B60"/>
    <w:rsid w:val="006438F1"/>
    <w:rsid w:val="00682763"/>
    <w:rsid w:val="006E2B4D"/>
    <w:rsid w:val="006E7FCD"/>
    <w:rsid w:val="00704E32"/>
    <w:rsid w:val="00717A38"/>
    <w:rsid w:val="00720009"/>
    <w:rsid w:val="00741E8B"/>
    <w:rsid w:val="00742047"/>
    <w:rsid w:val="00751E1E"/>
    <w:rsid w:val="007670D1"/>
    <w:rsid w:val="007804FD"/>
    <w:rsid w:val="007D51C1"/>
    <w:rsid w:val="007E2F7B"/>
    <w:rsid w:val="007E7562"/>
    <w:rsid w:val="007F178C"/>
    <w:rsid w:val="00806300"/>
    <w:rsid w:val="00807A61"/>
    <w:rsid w:val="00810A6D"/>
    <w:rsid w:val="008B7726"/>
    <w:rsid w:val="008C20F8"/>
    <w:rsid w:val="008C323F"/>
    <w:rsid w:val="008C35BC"/>
    <w:rsid w:val="008F3AB9"/>
    <w:rsid w:val="00907F75"/>
    <w:rsid w:val="00914EA7"/>
    <w:rsid w:val="009240E3"/>
    <w:rsid w:val="0092487D"/>
    <w:rsid w:val="00927085"/>
    <w:rsid w:val="00936079"/>
    <w:rsid w:val="009544E6"/>
    <w:rsid w:val="0096018D"/>
    <w:rsid w:val="00961D6D"/>
    <w:rsid w:val="00985E5C"/>
    <w:rsid w:val="00987B78"/>
    <w:rsid w:val="00987F13"/>
    <w:rsid w:val="009A2854"/>
    <w:rsid w:val="009B5D59"/>
    <w:rsid w:val="009C4AD5"/>
    <w:rsid w:val="009D41BA"/>
    <w:rsid w:val="009F6641"/>
    <w:rsid w:val="00A07E1E"/>
    <w:rsid w:val="00A45E72"/>
    <w:rsid w:val="00A501DE"/>
    <w:rsid w:val="00A8157E"/>
    <w:rsid w:val="00A9453A"/>
    <w:rsid w:val="00AC48E5"/>
    <w:rsid w:val="00AD75A5"/>
    <w:rsid w:val="00AD7ED8"/>
    <w:rsid w:val="00AE3A5B"/>
    <w:rsid w:val="00AE7A4D"/>
    <w:rsid w:val="00B02A8C"/>
    <w:rsid w:val="00B0616D"/>
    <w:rsid w:val="00B1396A"/>
    <w:rsid w:val="00B16D32"/>
    <w:rsid w:val="00B21AAB"/>
    <w:rsid w:val="00B21F7C"/>
    <w:rsid w:val="00B26493"/>
    <w:rsid w:val="00B31301"/>
    <w:rsid w:val="00B55456"/>
    <w:rsid w:val="00B7058B"/>
    <w:rsid w:val="00B74E31"/>
    <w:rsid w:val="00B76AA6"/>
    <w:rsid w:val="00B87C0B"/>
    <w:rsid w:val="00BA13BC"/>
    <w:rsid w:val="00BA6803"/>
    <w:rsid w:val="00BB58D0"/>
    <w:rsid w:val="00BC6AF6"/>
    <w:rsid w:val="00BE13CB"/>
    <w:rsid w:val="00C06F86"/>
    <w:rsid w:val="00C35A44"/>
    <w:rsid w:val="00C465BE"/>
    <w:rsid w:val="00C61436"/>
    <w:rsid w:val="00C62976"/>
    <w:rsid w:val="00C711B7"/>
    <w:rsid w:val="00C824FE"/>
    <w:rsid w:val="00C8489E"/>
    <w:rsid w:val="00C90765"/>
    <w:rsid w:val="00C90B39"/>
    <w:rsid w:val="00C954DB"/>
    <w:rsid w:val="00C9604A"/>
    <w:rsid w:val="00C964AE"/>
    <w:rsid w:val="00CA2128"/>
    <w:rsid w:val="00CA57D8"/>
    <w:rsid w:val="00D1050E"/>
    <w:rsid w:val="00D170A7"/>
    <w:rsid w:val="00D31D50"/>
    <w:rsid w:val="00D61CAE"/>
    <w:rsid w:val="00D63DDA"/>
    <w:rsid w:val="00D918C8"/>
    <w:rsid w:val="00DD558F"/>
    <w:rsid w:val="00DE7185"/>
    <w:rsid w:val="00E06B83"/>
    <w:rsid w:val="00E21FDA"/>
    <w:rsid w:val="00E33C6D"/>
    <w:rsid w:val="00E35968"/>
    <w:rsid w:val="00E5296C"/>
    <w:rsid w:val="00E82875"/>
    <w:rsid w:val="00EB1927"/>
    <w:rsid w:val="00EB37C9"/>
    <w:rsid w:val="00EB3E7D"/>
    <w:rsid w:val="00F03559"/>
    <w:rsid w:val="00F21E48"/>
    <w:rsid w:val="00F346E9"/>
    <w:rsid w:val="00F40CEE"/>
    <w:rsid w:val="00F47BE2"/>
    <w:rsid w:val="00F50ECD"/>
    <w:rsid w:val="00F64F7A"/>
    <w:rsid w:val="00F65710"/>
    <w:rsid w:val="00F70291"/>
    <w:rsid w:val="00F717EB"/>
    <w:rsid w:val="00F91C36"/>
    <w:rsid w:val="00FD0313"/>
    <w:rsid w:val="00FE31D8"/>
    <w:rsid w:val="00FF4DC9"/>
    <w:rsid w:val="0DCB4249"/>
    <w:rsid w:val="140E3B42"/>
    <w:rsid w:val="1EBF9BEA"/>
    <w:rsid w:val="1FFD4F1C"/>
    <w:rsid w:val="295D5034"/>
    <w:rsid w:val="2A916A08"/>
    <w:rsid w:val="2BEEA899"/>
    <w:rsid w:val="2C6A3CA0"/>
    <w:rsid w:val="2FEFD5BE"/>
    <w:rsid w:val="3EFBEBC2"/>
    <w:rsid w:val="3FAFEC1E"/>
    <w:rsid w:val="3FCF7A9E"/>
    <w:rsid w:val="46B171E5"/>
    <w:rsid w:val="47171571"/>
    <w:rsid w:val="493EB160"/>
    <w:rsid w:val="4C18407A"/>
    <w:rsid w:val="4DDBB98F"/>
    <w:rsid w:val="57B1787F"/>
    <w:rsid w:val="57DC1C41"/>
    <w:rsid w:val="5AF88513"/>
    <w:rsid w:val="5D57AF8A"/>
    <w:rsid w:val="5F1E49D5"/>
    <w:rsid w:val="5F5BA357"/>
    <w:rsid w:val="5FFD7586"/>
    <w:rsid w:val="62255252"/>
    <w:rsid w:val="6F3F6540"/>
    <w:rsid w:val="6FFFAC57"/>
    <w:rsid w:val="71FFC909"/>
    <w:rsid w:val="7B39BE69"/>
    <w:rsid w:val="7BFE2F4E"/>
    <w:rsid w:val="7DF3A7F9"/>
    <w:rsid w:val="7E9B0F08"/>
    <w:rsid w:val="7EEE8582"/>
    <w:rsid w:val="7FF5D013"/>
    <w:rsid w:val="9EEFE436"/>
    <w:rsid w:val="AFA3D8B7"/>
    <w:rsid w:val="B1600298"/>
    <w:rsid w:val="B3AF71C3"/>
    <w:rsid w:val="B7DB2D92"/>
    <w:rsid w:val="B8FF3FCE"/>
    <w:rsid w:val="BFBDF1C6"/>
    <w:rsid w:val="BFEEF130"/>
    <w:rsid w:val="BFFA1FA3"/>
    <w:rsid w:val="CFBFE4B6"/>
    <w:rsid w:val="D4CFB1C6"/>
    <w:rsid w:val="DCD78E22"/>
    <w:rsid w:val="DDF80992"/>
    <w:rsid w:val="DDFFACE7"/>
    <w:rsid w:val="DEF7C7CE"/>
    <w:rsid w:val="DF66BE1E"/>
    <w:rsid w:val="DFCB1F20"/>
    <w:rsid w:val="E7F5564F"/>
    <w:rsid w:val="EB5E118A"/>
    <w:rsid w:val="EBF7DD86"/>
    <w:rsid w:val="EDFF1C7F"/>
    <w:rsid w:val="EEEC72DB"/>
    <w:rsid w:val="F17B850F"/>
    <w:rsid w:val="F39BB6C0"/>
    <w:rsid w:val="FABFD284"/>
    <w:rsid w:val="FAED07BE"/>
    <w:rsid w:val="FBCB1358"/>
    <w:rsid w:val="FBDD3358"/>
    <w:rsid w:val="FCD7E1ED"/>
    <w:rsid w:val="FD65E9AB"/>
    <w:rsid w:val="FD7F851E"/>
    <w:rsid w:val="FE7B8FD5"/>
    <w:rsid w:val="FE9F74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ocument Map"/>
    <w:basedOn w:val="1"/>
    <w:link w:val="21"/>
    <w:semiHidden/>
    <w:qFormat/>
    <w:uiPriority w:val="99"/>
    <w:pPr>
      <w:shd w:val="clear" w:color="auto" w:fill="000080"/>
    </w:pPr>
  </w:style>
  <w:style w:type="paragraph" w:styleId="4">
    <w:name w:val="Date"/>
    <w:basedOn w:val="1"/>
    <w:next w:val="1"/>
    <w:link w:val="18"/>
    <w:semiHidden/>
    <w:qFormat/>
    <w:uiPriority w:val="99"/>
    <w:pPr>
      <w:ind w:left="100" w:leftChars="2500"/>
    </w:pPr>
  </w:style>
  <w:style w:type="paragraph" w:styleId="5">
    <w:name w:val="Balloon Text"/>
    <w:basedOn w:val="1"/>
    <w:link w:val="19"/>
    <w:semiHidden/>
    <w:qFormat/>
    <w:uiPriority w:val="99"/>
    <w:pPr>
      <w:spacing w:after="0"/>
    </w:pPr>
    <w:rPr>
      <w:sz w:val="18"/>
      <w:szCs w:val="18"/>
    </w:rPr>
  </w:style>
  <w:style w:type="paragraph" w:styleId="6">
    <w:name w:val="footer"/>
    <w:basedOn w:val="1"/>
    <w:link w:val="17"/>
    <w:semiHidden/>
    <w:qFormat/>
    <w:uiPriority w:val="99"/>
    <w:pPr>
      <w:tabs>
        <w:tab w:val="center" w:pos="4153"/>
        <w:tab w:val="right" w:pos="8306"/>
      </w:tabs>
    </w:pPr>
    <w:rPr>
      <w:sz w:val="18"/>
      <w:szCs w:val="18"/>
    </w:rPr>
  </w:style>
  <w:style w:type="paragraph" w:styleId="7">
    <w:name w:val="header"/>
    <w:basedOn w:val="1"/>
    <w:link w:val="16"/>
    <w:semiHidden/>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10">
    <w:name w:val="Table Grid"/>
    <w:basedOn w:val="9"/>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character" w:styleId="14">
    <w:name w:val="FollowedHyperlink"/>
    <w:basedOn w:val="11"/>
    <w:semiHidden/>
    <w:qFormat/>
    <w:uiPriority w:val="99"/>
    <w:rPr>
      <w:rFonts w:cs="Times New Roman"/>
      <w:color w:val="800080"/>
      <w:u w:val="single"/>
    </w:rPr>
  </w:style>
  <w:style w:type="character" w:styleId="15">
    <w:name w:val="Hyperlink"/>
    <w:basedOn w:val="11"/>
    <w:qFormat/>
    <w:uiPriority w:val="99"/>
    <w:rPr>
      <w:rFonts w:cs="Times New Roman"/>
      <w:color w:val="0000FF"/>
      <w:u w:val="single"/>
    </w:rPr>
  </w:style>
  <w:style w:type="character" w:customStyle="1" w:styleId="16">
    <w:name w:val="Header Char"/>
    <w:basedOn w:val="11"/>
    <w:link w:val="7"/>
    <w:semiHidden/>
    <w:qFormat/>
    <w:locked/>
    <w:uiPriority w:val="99"/>
    <w:rPr>
      <w:rFonts w:ascii="Tahoma" w:hAnsi="Tahoma" w:cs="Times New Roman"/>
      <w:sz w:val="18"/>
      <w:szCs w:val="18"/>
    </w:rPr>
  </w:style>
  <w:style w:type="character" w:customStyle="1" w:styleId="17">
    <w:name w:val="Footer Char"/>
    <w:basedOn w:val="11"/>
    <w:link w:val="6"/>
    <w:semiHidden/>
    <w:qFormat/>
    <w:locked/>
    <w:uiPriority w:val="99"/>
    <w:rPr>
      <w:rFonts w:ascii="Tahoma" w:hAnsi="Tahoma" w:cs="Times New Roman"/>
      <w:sz w:val="18"/>
      <w:szCs w:val="18"/>
    </w:rPr>
  </w:style>
  <w:style w:type="character" w:customStyle="1" w:styleId="18">
    <w:name w:val="Date Char"/>
    <w:basedOn w:val="11"/>
    <w:link w:val="4"/>
    <w:semiHidden/>
    <w:qFormat/>
    <w:locked/>
    <w:uiPriority w:val="99"/>
    <w:rPr>
      <w:rFonts w:ascii="Tahoma" w:hAnsi="Tahoma" w:cs="Times New Roman"/>
    </w:rPr>
  </w:style>
  <w:style w:type="character" w:customStyle="1" w:styleId="19">
    <w:name w:val="Balloon Text Char"/>
    <w:basedOn w:val="11"/>
    <w:link w:val="5"/>
    <w:semiHidden/>
    <w:qFormat/>
    <w:locked/>
    <w:uiPriority w:val="99"/>
    <w:rPr>
      <w:rFonts w:ascii="Tahoma" w:hAnsi="Tahoma" w:cs="Times New Roman"/>
      <w:sz w:val="18"/>
      <w:szCs w:val="18"/>
    </w:rPr>
  </w:style>
  <w:style w:type="paragraph" w:customStyle="1" w:styleId="20">
    <w:name w:val="Char Char Char Char"/>
    <w:basedOn w:val="3"/>
    <w:qFormat/>
    <w:uiPriority w:val="99"/>
    <w:pPr>
      <w:widowControl w:val="0"/>
      <w:adjustRightInd/>
      <w:snapToGrid/>
      <w:spacing w:after="0"/>
      <w:jc w:val="both"/>
    </w:pPr>
    <w:rPr>
      <w:rFonts w:ascii="宋体" w:hAnsi="宋体" w:eastAsia="宋体"/>
      <w:color w:val="000000"/>
      <w:kern w:val="2"/>
      <w:sz w:val="21"/>
      <w:szCs w:val="20"/>
    </w:rPr>
  </w:style>
  <w:style w:type="character" w:customStyle="1" w:styleId="21">
    <w:name w:val="Document Map Char"/>
    <w:basedOn w:val="11"/>
    <w:link w:val="3"/>
    <w:semiHidden/>
    <w:qFormat/>
    <w:locked/>
    <w:uiPriority w:val="99"/>
    <w:rPr>
      <w:rFonts w:ascii="Times New Roman" w:hAnsi="Times New Roman" w:cs="Times New Roman"/>
      <w:kern w:val="0"/>
      <w:sz w:val="2"/>
    </w:rPr>
  </w:style>
  <w:style w:type="character" w:customStyle="1" w:styleId="22">
    <w:name w:val="页眉 Char"/>
    <w:basedOn w:val="11"/>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417</Words>
  <Characters>2377</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2020-07-08T09:28:00Z</dcterms:created>
  <dc:creator>让爱作主</dc:creator>
  <cp:lastModifiedBy>greatwall</cp:lastModifiedBy>
  <cp:lastPrinted>2018-07-08T17:15:00Z</cp:lastPrinted>
  <dcterms:modified xsi:type="dcterms:W3CDTF">2023-09-05T08:45:06Z</dcterms:modified>
  <dc:title>常宁市财政局关于做好2016年度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0293F097422E4B32923DA51768BFA7EE</vt:lpwstr>
  </property>
</Properties>
</file>