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3" w:firstLineChars="200"/>
        <w:jc w:val="center"/>
        <w:rPr>
          <w:rFonts w:hint="eastAsia" w:hAnsi="宋体"/>
          <w:b/>
          <w:bCs/>
          <w:color w:val="000000"/>
          <w:szCs w:val="32"/>
        </w:rPr>
      </w:pPr>
    </w:p>
    <w:p>
      <w:pPr>
        <w:spacing w:line="540" w:lineRule="exact"/>
        <w:ind w:firstLine="880" w:firstLineChars="200"/>
        <w:jc w:val="center"/>
        <w:rPr>
          <w:rFonts w:hint="eastAsia" w:ascii="黑体" w:hAnsi="宋体" w:eastAsia="黑体"/>
          <w:bCs/>
          <w:color w:val="000000"/>
          <w:sz w:val="44"/>
          <w:szCs w:val="44"/>
        </w:rPr>
      </w:pPr>
      <w:r>
        <w:rPr>
          <w:rFonts w:hint="eastAsia" w:ascii="黑体" w:hAnsi="宋体" w:eastAsia="黑体"/>
          <w:bCs/>
          <w:color w:val="000000"/>
          <w:sz w:val="44"/>
          <w:szCs w:val="44"/>
          <w:lang w:eastAsia="zh-CN"/>
        </w:rPr>
        <w:t>常宁市农村公路管理所预算支出</w:t>
      </w:r>
      <w:r>
        <w:rPr>
          <w:rFonts w:hint="eastAsia" w:ascii="黑体" w:hAnsi="宋体" w:eastAsia="黑体"/>
          <w:bCs/>
          <w:color w:val="000000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40" w:firstLineChars="300"/>
        <w:jc w:val="both"/>
        <w:textAlignment w:val="auto"/>
        <w:outlineLvl w:val="0"/>
        <w:rPr>
          <w:rFonts w:hint="eastAsia" w:hAnsi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40" w:firstLineChars="3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eastAsia="zh-CN"/>
        </w:rPr>
        <w:t>为贯切落实«中共中央国务院关于全面实施预算绩效管理意见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2018年9月1日)»精神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及常财绩[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]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关于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整体绩效评价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和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重点项目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绩效评价的通知，为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进一步规范和加强专项资金使用管理，切实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提高资金使用效益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和项目管理水平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，我所领导高度重视，积极组织开展绩效自评，现将我所201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年预算支出绩效评价情况汇报如下：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我所是全额拨款的事业单位，人员编制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人，下设7个股室。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部门收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支出情况：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本年收入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2374.17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万元，其中一般公共财政拨款收入2194.42万元，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事业</w:t>
      </w:r>
      <w:bookmarkStart w:id="2" w:name="_GoBack"/>
      <w:bookmarkEnd w:id="2"/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收入152.33万元，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其他收入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4.36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万元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年项目支出结转和结余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23.05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万元。本年总支出2366.85万元，其中：基本支出723.59万元，包括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人员经费609.33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万元，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日常公用经费114.26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万元；项目支出1643.26万元。201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年末项目支出结转和结余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7.32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（一）项目单位基本情况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养护农村公路总里程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2018.851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中：国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eastAsia="zh-CN"/>
        </w:rPr>
        <w:t>道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46.858公里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省道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182.273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公里，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县道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209.347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公里，乡道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519.669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，村道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1059.404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，专用公路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公里，分布在全市22个乡镇、办事处。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农村公路养护是对全市公路干线进行维护，其资金为成品油替代转移支付的一种。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（二）项目绩效目标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00" w:firstLineChars="2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的农村公路养护实施完工后，使我所管养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</w:t>
      </w: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路况逐年上升，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年末好路率达到8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%以上，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多次得到省、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局的好评。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社会效益、经济效益、生态效益、可持续性影响和社会公众满意率都达到预期目标。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8" w:firstLineChars="196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（三）项目基本性质、用途和主要内容、涉及范围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公路养护项目属于公益性建设项目，项目资金及时到位，项目的实施，将会取得良好的经济效益和社会效益。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为解决我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农村公路目前养护的问题，项目资金专款专用，使我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管养的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国省、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县道公路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常养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%，乡、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常养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%，使农村公路得到了改善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，满足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人民群众出行的需求。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农村公路养护项目，我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编制了养护管理制度，规范了地方公路养护管理措施。通过路况调查、分析，因地制宜确定养护计划，加强预防性，日常性养护，确保了我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管养的路段好路率稳步提升。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hAnsi="仿宋_GB2312" w:cs="仿宋_GB2312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实施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（一）项目资金到位情况分析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00" w:firstLineChars="2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7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农村公路养护项目201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年市财政预算资金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2194.42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全部拨款到位，各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项目已经实施完成。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（二）项目资金使用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和管理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我所严格按照《公路养护制度》、《预算管理制度》、《成本核算制度》对公路养护项目资金进行管理，实行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专款专用，严格控制工程造价，以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批复概算作为控制依据。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我所实行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个体承包养护、乡镇养护、公路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养护等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种养护形式养护线路。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具体使用情况如下；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、公路小修保养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270.36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万元，包括①养护的各工班人员养护经费53.06万元，按每季度实际养护里程400元/公里核算；②材料费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11.16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万元，主要用于养护车加油，购材料等费用；③机械使用费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万元，主要是养护车维修费用等开支；④包干经费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179.15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其中拨到22个乡镇养护经费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70.07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万元，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松柏至烟洲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条线路的培路肩、除草、路面换板、清灌缝等日常养护费用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109.08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万元；⑤其他费用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18.19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万元，包括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蓬塘乡新田村、天堂山办事处和大保乡桥头村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个村的养护维修费。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2、公路抢修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79.9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包括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S343弥塔公路、X073线松柏至烟洲段、Y637线祁元至毛坳段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等全市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条线路的水毁抢修工程，我所及时抢修，按时完成任务，保证道路畅通。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3、公路大中修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583.8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万元，包括①X081线31.2万元，②X080线洋泉至塔山专项养护工程188万元，③西岭青竹村33.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万元，④S338线宜阳至田尾261万元，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S343耒阳陶洲至双牌何家洞70万元等工程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这些工程都已完工验收。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4、公路改建496.7万元，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包括①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西岭镇五冲村、蓬塘乡YB07线、YB18线、X217线盐湖至罗桥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条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53.872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公里路的改建，总计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395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万元；以上工程均已完工，但有些未验收结算；②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塔山瑶族乡西江村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个村的公路改建款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101.7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万元，这些款项都拨付到各乡镇财政所，由各乡镇负责验收拨付。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5、绿化支出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43.87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包括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XJ03斗岭至蓬塘、Y638万松至大同、S350清冲桥至新瓦村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条线路两旁的绿化建设，工程已完工，按实际成活率验收再结算。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6、危桥改造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135.14万元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，包括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下冲桥危桥改造工程；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朱家口桥危桥改造工程；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③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江河小河渡改桥工程；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④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天堂山办事处六宝幸福桥改造</w:t>
      </w:r>
      <w:r>
        <w:rPr>
          <w:rFonts w:hint="eastAsia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等工程；这些工程都未验收结算。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、安保工程支出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18.4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万元，在道路沿线制作交通安全标志牌等，增强安全意识。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、路况及交通量情况调查15万元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default" w:hAnsi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检测费0.09万元。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hAnsi="仿宋_GB2312" w:cs="仿宋_GB2312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</w:t>
      </w:r>
      <w:r>
        <w:rPr>
          <w:rFonts w:hint="eastAsia" w:hAnsi="仿宋_GB2312" w:cs="仿宋_GB2312"/>
          <w:b/>
          <w:bCs/>
          <w:color w:val="000000"/>
          <w:sz w:val="28"/>
          <w:szCs w:val="28"/>
          <w:lang w:eastAsia="zh-CN"/>
        </w:rPr>
        <w:t>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（一）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eastAsia="zh-CN"/>
        </w:rPr>
        <w:t>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绩效评价的目的在于通过对市财政局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2019年度下拨的农村公路养护资金进行评价，衡量项目资金的“产出”与“绩效”，了解、分析、检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验</w:t>
      </w: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项目是否达到预期目标，资金使用是否有效，为以后年度安排财政资金提供重要依据。同时，及时总结经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验</w:t>
      </w: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，分析存在的问题，采取切实有效的措施进一步改进和加强财政支出项目管理，提高资金使用效益。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（二）项目管理情况分析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为了加强公路养护项目的实施管理，我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凡是有关公路养护的重大决策都经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所里开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会讨论决定，由专人负责公路养护项目质量、进度、成本的监督和控制，采用“政府监督、社会监理”的原则，严格按照《公路养护制度》相关文件要求，切实</w:t>
      </w: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行管理办法，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接受省、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局等相关部门的监督和检查。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hAnsi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主要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绩效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00" w:firstLineChars="2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项目的经济性分析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pacing w:val="17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严格按照《公路养护制度》，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每个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按财政核算的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金数进行施工，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全部资金用于农村公路养护的建设。我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严格控制每一笔项目建设资金，力求节约成本，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实际项目支出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1643.26万元，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使养护资金真正落到实处。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eastAsia="zh-CN"/>
        </w:rPr>
        <w:t>到年末结余项目资金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7.32万元，主要是极少部分项目未验收结算。</w:t>
      </w:r>
    </w:p>
    <w:p>
      <w:pPr>
        <w:keepNext w:val="0"/>
        <w:keepLines w:val="0"/>
        <w:pageBreakBefore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项目的效率性分析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bookmarkStart w:id="0" w:name="_Toc292263986"/>
      <w:bookmarkStart w:id="1" w:name="_Toc289958193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为了科学组织项目实施过程各阶段的工作，合理安排公路养护资金，保证项目按计划养护并投入使用，发挥投资效益，根据项目实际情况，拟定项目养护期为12个月</w:t>
      </w:r>
      <w:bookmarkEnd w:id="0"/>
      <w:bookmarkEnd w:id="1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，每月都有专人小组进行月完成量的验收检查。对完成验收检查合格的线路核拨养护资金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，质量良好。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项目的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效益性分析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农村公路养护项目预期目标：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对全市农村公路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实施养护管理，并在201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完成项目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农村公路养护项目属于公益性建设项目，项目的实施，不会直接产生经济效益，但是，其社会效益的影响是深远的，项目的建设能保护广大人民群众的来往出行，稳定正常的社会生活和生产秩序，保障各项经济建设的顺利进行，保证了农村公路的通畅，对促进公路养护事业的可持续发展和经济发展起到重要的推动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hAnsi="仿宋_GB2312" w:cs="仿宋_GB2312"/>
          <w:b/>
          <w:bCs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存在的问题和建议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</w:rPr>
        <w:t>目前，农村公路养护的主要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eastAsia="zh-CN"/>
        </w:rPr>
        <w:t>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eastAsia="zh-CN"/>
        </w:rPr>
        <w:t>保畅通，提供舒适的交通环境，</w:t>
      </w:r>
      <w:r>
        <w:rPr>
          <w:rFonts w:hint="eastAsia" w:hAnsi="仿宋_GB2312" w:cs="仿宋_GB2312"/>
          <w:b w:val="0"/>
          <w:bCs w:val="0"/>
          <w:sz w:val="28"/>
          <w:szCs w:val="28"/>
          <w:shd w:val="clear" w:color="F5F7EE" w:fill="auto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</w:rPr>
        <w:t>防止路肩的水土流失，导致路基淘空，造成路面断板和破碎等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,</w:t>
      </w:r>
      <w:r>
        <w:rPr>
          <w:rFonts w:hint="eastAsia" w:hAnsi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加强日常养护工作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eastAsia="zh-CN"/>
        </w:rPr>
        <w:t>建议：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1、加</w:t>
      </w:r>
      <w:r>
        <w:rPr>
          <w:rFonts w:hint="eastAsia" w:hAnsi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大到乡镇宣传力度，增强人民爱路护路意识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40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提高服务质量及办事效率；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40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财政还应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>加大养护资金的投入。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760" w:firstLineChars="17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760" w:firstLineChars="17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760" w:firstLineChars="17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val="en-US" w:eastAsia="zh-CN"/>
        </w:rPr>
        <w:t xml:space="preserve"> 常宁市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F5F7EE" w:fill="auto"/>
          <w:lang w:eastAsia="zh-CN"/>
        </w:rPr>
        <w:t>农村公路管理所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12F7BB"/>
    <w:multiLevelType w:val="singleLevel"/>
    <w:tmpl w:val="F812F7BB"/>
    <w:lvl w:ilvl="0" w:tentative="0">
      <w:start w:val="2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abstractNum w:abstractNumId="1">
    <w:nsid w:val="59F7C2A9"/>
    <w:multiLevelType w:val="singleLevel"/>
    <w:tmpl w:val="59F7C2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0D91"/>
    <w:rsid w:val="0136791B"/>
    <w:rsid w:val="02730988"/>
    <w:rsid w:val="02AD2769"/>
    <w:rsid w:val="02E641BC"/>
    <w:rsid w:val="03DD38B0"/>
    <w:rsid w:val="03F9634E"/>
    <w:rsid w:val="04202A94"/>
    <w:rsid w:val="049F2B05"/>
    <w:rsid w:val="04B556A1"/>
    <w:rsid w:val="04F72542"/>
    <w:rsid w:val="054D079A"/>
    <w:rsid w:val="072B39ED"/>
    <w:rsid w:val="08895468"/>
    <w:rsid w:val="09911261"/>
    <w:rsid w:val="09A423E6"/>
    <w:rsid w:val="0A2A443D"/>
    <w:rsid w:val="0C760561"/>
    <w:rsid w:val="0CD263F5"/>
    <w:rsid w:val="0CD90150"/>
    <w:rsid w:val="0D42792C"/>
    <w:rsid w:val="0D7B6BAF"/>
    <w:rsid w:val="0DEF6806"/>
    <w:rsid w:val="0DF87D74"/>
    <w:rsid w:val="0E112DFC"/>
    <w:rsid w:val="0E2E24C5"/>
    <w:rsid w:val="0E7B1824"/>
    <w:rsid w:val="0E8129BB"/>
    <w:rsid w:val="0F4124E2"/>
    <w:rsid w:val="0F4A6C22"/>
    <w:rsid w:val="0FD9242B"/>
    <w:rsid w:val="103A30DE"/>
    <w:rsid w:val="111753E7"/>
    <w:rsid w:val="118439D4"/>
    <w:rsid w:val="11CA16C1"/>
    <w:rsid w:val="11D4555B"/>
    <w:rsid w:val="122B6D67"/>
    <w:rsid w:val="12E21E5B"/>
    <w:rsid w:val="135034B7"/>
    <w:rsid w:val="13516F0D"/>
    <w:rsid w:val="13CA5FBD"/>
    <w:rsid w:val="16621E97"/>
    <w:rsid w:val="176F456F"/>
    <w:rsid w:val="17943B6B"/>
    <w:rsid w:val="18553619"/>
    <w:rsid w:val="18725758"/>
    <w:rsid w:val="18996DF0"/>
    <w:rsid w:val="18CF2B4B"/>
    <w:rsid w:val="193E4CDE"/>
    <w:rsid w:val="19DD39B6"/>
    <w:rsid w:val="1B967549"/>
    <w:rsid w:val="1BEB1AD0"/>
    <w:rsid w:val="1CFC0766"/>
    <w:rsid w:val="1DCB720F"/>
    <w:rsid w:val="1F64435F"/>
    <w:rsid w:val="1FF83BAA"/>
    <w:rsid w:val="20E64ED7"/>
    <w:rsid w:val="21736D78"/>
    <w:rsid w:val="21D25B60"/>
    <w:rsid w:val="220338EB"/>
    <w:rsid w:val="2502611C"/>
    <w:rsid w:val="26CB2A79"/>
    <w:rsid w:val="27362282"/>
    <w:rsid w:val="278C65C6"/>
    <w:rsid w:val="27A85D9C"/>
    <w:rsid w:val="288A04C1"/>
    <w:rsid w:val="2911628A"/>
    <w:rsid w:val="29710319"/>
    <w:rsid w:val="2A074827"/>
    <w:rsid w:val="2A2241EB"/>
    <w:rsid w:val="2A8B48F5"/>
    <w:rsid w:val="2B2A0F11"/>
    <w:rsid w:val="2C2D5A6A"/>
    <w:rsid w:val="2C75702C"/>
    <w:rsid w:val="2D550A78"/>
    <w:rsid w:val="2E950904"/>
    <w:rsid w:val="2EF33681"/>
    <w:rsid w:val="2F773A76"/>
    <w:rsid w:val="305667B6"/>
    <w:rsid w:val="31763F4F"/>
    <w:rsid w:val="3229630A"/>
    <w:rsid w:val="3236441E"/>
    <w:rsid w:val="331541C3"/>
    <w:rsid w:val="33AC15C9"/>
    <w:rsid w:val="34E20ADA"/>
    <w:rsid w:val="359A4274"/>
    <w:rsid w:val="35CF402A"/>
    <w:rsid w:val="35E4637A"/>
    <w:rsid w:val="379F4E19"/>
    <w:rsid w:val="37EF1D1C"/>
    <w:rsid w:val="37FF42D6"/>
    <w:rsid w:val="38276D84"/>
    <w:rsid w:val="383B7670"/>
    <w:rsid w:val="38814E53"/>
    <w:rsid w:val="395C496F"/>
    <w:rsid w:val="39A85518"/>
    <w:rsid w:val="39B47D6C"/>
    <w:rsid w:val="39F84FC9"/>
    <w:rsid w:val="3AE10D91"/>
    <w:rsid w:val="3C24100F"/>
    <w:rsid w:val="3C2451D3"/>
    <w:rsid w:val="3CB0424F"/>
    <w:rsid w:val="3CD81C60"/>
    <w:rsid w:val="3DB7595B"/>
    <w:rsid w:val="3E927AF4"/>
    <w:rsid w:val="3FC82E81"/>
    <w:rsid w:val="40304589"/>
    <w:rsid w:val="416100EC"/>
    <w:rsid w:val="420938E3"/>
    <w:rsid w:val="449F7C7A"/>
    <w:rsid w:val="450B68A4"/>
    <w:rsid w:val="464064C5"/>
    <w:rsid w:val="469F124B"/>
    <w:rsid w:val="47E1679D"/>
    <w:rsid w:val="48CE6F50"/>
    <w:rsid w:val="498A3FE0"/>
    <w:rsid w:val="4AD036A2"/>
    <w:rsid w:val="4B5B6853"/>
    <w:rsid w:val="4C010EDD"/>
    <w:rsid w:val="4F1929E4"/>
    <w:rsid w:val="4F2F05B2"/>
    <w:rsid w:val="4FFA526D"/>
    <w:rsid w:val="50077B7A"/>
    <w:rsid w:val="50DA68D7"/>
    <w:rsid w:val="523F5193"/>
    <w:rsid w:val="529F6EB3"/>
    <w:rsid w:val="53787200"/>
    <w:rsid w:val="544A61F7"/>
    <w:rsid w:val="54511B80"/>
    <w:rsid w:val="54C914D5"/>
    <w:rsid w:val="558B3D3E"/>
    <w:rsid w:val="5668566C"/>
    <w:rsid w:val="56873152"/>
    <w:rsid w:val="56B32154"/>
    <w:rsid w:val="56F805EC"/>
    <w:rsid w:val="581F4516"/>
    <w:rsid w:val="59F73D9C"/>
    <w:rsid w:val="5A105822"/>
    <w:rsid w:val="5AAF47DA"/>
    <w:rsid w:val="5B5740A4"/>
    <w:rsid w:val="5C545D21"/>
    <w:rsid w:val="5CB6684C"/>
    <w:rsid w:val="5CCB4351"/>
    <w:rsid w:val="5D6B6E58"/>
    <w:rsid w:val="5E032CCA"/>
    <w:rsid w:val="5E517A26"/>
    <w:rsid w:val="5FEC6C95"/>
    <w:rsid w:val="609A3FBD"/>
    <w:rsid w:val="614145FA"/>
    <w:rsid w:val="6172409F"/>
    <w:rsid w:val="63FD248E"/>
    <w:rsid w:val="64B53056"/>
    <w:rsid w:val="64E83F64"/>
    <w:rsid w:val="66143E89"/>
    <w:rsid w:val="67CA3723"/>
    <w:rsid w:val="689F348B"/>
    <w:rsid w:val="68E1564C"/>
    <w:rsid w:val="690A5844"/>
    <w:rsid w:val="695E2BE6"/>
    <w:rsid w:val="69BB49A6"/>
    <w:rsid w:val="69C00644"/>
    <w:rsid w:val="6B783411"/>
    <w:rsid w:val="6B960328"/>
    <w:rsid w:val="6C81245C"/>
    <w:rsid w:val="6CBE675E"/>
    <w:rsid w:val="6D202419"/>
    <w:rsid w:val="6D6C03DC"/>
    <w:rsid w:val="6F3123D2"/>
    <w:rsid w:val="6F33539E"/>
    <w:rsid w:val="71E478AA"/>
    <w:rsid w:val="71F728CE"/>
    <w:rsid w:val="72B75666"/>
    <w:rsid w:val="736416BE"/>
    <w:rsid w:val="73982CCE"/>
    <w:rsid w:val="73C06D08"/>
    <w:rsid w:val="744E03A4"/>
    <w:rsid w:val="75460A66"/>
    <w:rsid w:val="75773459"/>
    <w:rsid w:val="75DC19DF"/>
    <w:rsid w:val="770B24F0"/>
    <w:rsid w:val="772574D0"/>
    <w:rsid w:val="776922DF"/>
    <w:rsid w:val="78AE1A45"/>
    <w:rsid w:val="79324D1F"/>
    <w:rsid w:val="7A3F7274"/>
    <w:rsid w:val="7AAC5E24"/>
    <w:rsid w:val="7B5E75B2"/>
    <w:rsid w:val="7BB37D96"/>
    <w:rsid w:val="7BDA18DB"/>
    <w:rsid w:val="7D582D38"/>
    <w:rsid w:val="7E0031FF"/>
    <w:rsid w:val="7ED73169"/>
    <w:rsid w:val="7EDE022F"/>
    <w:rsid w:val="7FCE0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0"/>
    <w:basedOn w:val="1"/>
    <w:qFormat/>
    <w:uiPriority w:val="0"/>
    <w:pPr>
      <w:widowControl/>
      <w:snapToGrid w:val="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9">
    <w:name w:val="列出段落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2017-10-26T08:53:00Z</dcterms:created>
  <dc:creator>Administrator</dc:creator>
  <cp:lastModifiedBy>彬彬</cp:lastModifiedBy>
  <cp:lastPrinted>2020-06-22T01:40:29Z</cp:lastPrinted>
  <dcterms:modified xsi:type="dcterms:W3CDTF">2020-06-22T02:45:18Z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