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泉峰办事处201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sz w:val="44"/>
          <w:szCs w:val="44"/>
        </w:rPr>
        <w:t xml:space="preserve">年预算支出绩效评价报告     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ind w:firstLine="452" w:firstLineChars="150"/>
        <w:rPr>
          <w:rFonts w:ascii="宋体" w:hAnsi="宋体" w:cs="宋体"/>
          <w:b/>
          <w:color w:val="2B2B2B"/>
          <w:sz w:val="30"/>
          <w:szCs w:val="30"/>
        </w:rPr>
      </w:pPr>
      <w:r>
        <w:rPr>
          <w:rFonts w:hint="eastAsia" w:ascii="宋体" w:hAnsi="宋体" w:cs="宋体"/>
          <w:b/>
          <w:color w:val="2B2B2B"/>
          <w:sz w:val="30"/>
          <w:szCs w:val="30"/>
        </w:rPr>
        <w:t xml:space="preserve"> 泉峰办事处位于常宁市城区西南部，总面积16.8平方公里，</w:t>
      </w:r>
      <w:r>
        <w:rPr>
          <w:rFonts w:hint="eastAsia" w:ascii="宋体" w:hAnsi="宋体" w:cs="宋体"/>
          <w:b/>
          <w:sz w:val="30"/>
          <w:szCs w:val="30"/>
        </w:rPr>
        <w:t>耕地面积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4990</w:t>
      </w:r>
      <w:r>
        <w:rPr>
          <w:rFonts w:hint="eastAsia" w:ascii="宋体" w:hAnsi="宋体" w:cs="宋体"/>
          <w:b/>
          <w:sz w:val="30"/>
          <w:szCs w:val="30"/>
        </w:rPr>
        <w:t>亩</w:t>
      </w:r>
      <w:r>
        <w:rPr>
          <w:rFonts w:hint="eastAsia" w:ascii="宋体" w:hAnsi="宋体" w:cs="宋体"/>
          <w:b/>
          <w:color w:val="2B2B2B"/>
          <w:sz w:val="30"/>
          <w:szCs w:val="30"/>
        </w:rPr>
        <w:t>，</w:t>
      </w:r>
      <w:r>
        <w:rPr>
          <w:rFonts w:hint="eastAsia" w:ascii="宋体" w:hAnsi="宋体" w:cs="宋体"/>
          <w:b/>
          <w:sz w:val="30"/>
          <w:szCs w:val="30"/>
        </w:rPr>
        <w:t>其中：水田面积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4500</w:t>
      </w:r>
      <w:r>
        <w:rPr>
          <w:rFonts w:hint="eastAsia" w:ascii="宋体" w:hAnsi="宋体" w:cs="宋体"/>
          <w:b/>
          <w:sz w:val="30"/>
          <w:szCs w:val="30"/>
        </w:rPr>
        <w:t xml:space="preserve">亩。办事处共有 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sz w:val="30"/>
          <w:szCs w:val="30"/>
        </w:rPr>
        <w:t>个村，67个组，1780户，</w:t>
      </w:r>
      <w:r>
        <w:rPr>
          <w:rFonts w:hint="eastAsia" w:ascii="宋体" w:hAnsi="宋体" w:cs="宋体"/>
          <w:b/>
          <w:color w:val="2B2B2B"/>
          <w:sz w:val="30"/>
          <w:szCs w:val="30"/>
        </w:rPr>
        <w:t>农业人口7842人；</w:t>
      </w:r>
      <w:r>
        <w:rPr>
          <w:rFonts w:hint="eastAsia" w:ascii="宋体" w:hAnsi="宋体" w:cs="宋体"/>
          <w:b/>
          <w:color w:val="2B2B2B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color w:val="2B2B2B"/>
          <w:sz w:val="30"/>
          <w:szCs w:val="30"/>
        </w:rPr>
        <w:t>个</w:t>
      </w:r>
      <w:r>
        <w:rPr>
          <w:rFonts w:hint="eastAsia" w:ascii="宋体" w:hAnsi="宋体" w:cs="宋体"/>
          <w:b/>
          <w:color w:val="2B2B2B"/>
          <w:sz w:val="30"/>
          <w:szCs w:val="30"/>
          <w:lang w:eastAsia="zh-CN"/>
        </w:rPr>
        <w:t>社区</w:t>
      </w:r>
      <w:r>
        <w:rPr>
          <w:rFonts w:hint="eastAsia" w:ascii="宋体" w:hAnsi="宋体" w:cs="宋体"/>
          <w:b/>
          <w:color w:val="2B2B2B"/>
          <w:sz w:val="30"/>
          <w:szCs w:val="30"/>
        </w:rPr>
        <w:t>，城镇人口47725人</w:t>
      </w:r>
      <w:r>
        <w:rPr>
          <w:rFonts w:hint="eastAsia" w:ascii="宋体" w:hAnsi="宋体" w:cs="宋体"/>
          <w:b/>
          <w:sz w:val="30"/>
          <w:szCs w:val="30"/>
        </w:rPr>
        <w:t>。</w:t>
      </w:r>
    </w:p>
    <w:p>
      <w:pPr>
        <w:ind w:firstLine="452" w:firstLineChars="15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为了加强办事处财政资金管理，强化支出责任，建立科学、合理的财政支出绩效评价管理体系，提高本单位财政资金的使用效益，根据上级财政部门文件精神的要求，本单位对本单位的部门预算整体支出进行了绩效评价，本次评价遵循了“科学规范、公正公开、分类管理、绩效相关”的原则，运用较科学、合理的绩效评价指标、评价标准和评价方法，对本单位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年度部门支出的绩效情况进行了客观、公正的评价。现将情况汇报如下：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部门职责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1、宣传贯彻落实法律法规和党的各项方针政策，坚持依法行政，推进民主政治发展，加强基层党组织党风廉政建设。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2、负责本办事处范围内各项目工程的引进、融资、协调、开展等工作，为经济发展提供优越环境。</w:t>
      </w:r>
    </w:p>
    <w:p>
      <w:pPr>
        <w:widowControl/>
        <w:shd w:val="clear" w:color="auto" w:fill="FFFFFF"/>
        <w:spacing w:line="290" w:lineRule="atLeast"/>
        <w:ind w:firstLine="6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3、负责做好农业技术指导、培训和服务工作及农村土地承包、产权制度改革、纠纷调解、仲裁、合同管理、农业产业化经营管理工作。</w:t>
      </w:r>
    </w:p>
    <w:p>
      <w:pPr>
        <w:widowControl/>
        <w:shd w:val="clear" w:color="auto" w:fill="FFFFFF"/>
        <w:spacing w:line="290" w:lineRule="atLeast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   4、整治环境卫生，强化城市精细化管理，为争创文明城市绿色城市升温鼓劲。</w:t>
      </w:r>
    </w:p>
    <w:p>
      <w:pPr>
        <w:widowControl/>
        <w:shd w:val="clear" w:color="auto" w:fill="FFFFFF"/>
        <w:spacing w:line="290" w:lineRule="atLeast"/>
        <w:ind w:firstLine="602" w:firstLineChars="200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5.认真落实“河长制” ，负责水土资源、水利工程的保护和管护。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6、深入开展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扫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黑除恶，扎实推进防毒禁毒工作，积极加强社会治理创新。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7、常抓安全生产，加强生产经营单位的监督监察。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8、保障城乡居民最低生活水平，建立健全社会保障体系；加强计划生育奖抚政策的落实到位。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9、负责城乡居民医疗合作管理工作，负责对办事处各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社区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和村级财务实行统一管理、集中核算、全面监督。</w:t>
      </w:r>
    </w:p>
    <w:p>
      <w:pPr>
        <w:widowControl/>
        <w:spacing w:line="600" w:lineRule="exact"/>
        <w:ind w:firstLine="590" w:firstLineChars="196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10、完成上级交办的其他工作任务</w:t>
      </w:r>
    </w:p>
    <w:p>
      <w:pPr>
        <w:widowControl/>
        <w:spacing w:line="600" w:lineRule="exact"/>
        <w:ind w:firstLine="301" w:firstLineChars="1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二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.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根据上述职责，泉峰办事处设5个内设机构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（一）党政综合办公室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负责机关的综合协调、上传下达工作；督促检查党和国家的方针政策、法律法规及上级部署的有关工作的贯彻落实情况；督促政务公开、村务公开、党务公开工作；负责机关文秘、会务、档案、保卫、保密、调研信息、综合统计、机关后勤、接待等工作。</w:t>
      </w:r>
    </w:p>
    <w:p>
      <w:pPr>
        <w:widowControl/>
        <w:numPr>
          <w:ilvl w:val="0"/>
          <w:numId w:val="2"/>
        </w:numPr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项目工程及经济发展办公室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主要承担本办事处内的各个工程项目的引进、融资、协调、开展等工作及农业、林业、水利和第三产业发展规划、经济结构调整、农业基础设施建设、防汛抗旱、动植物防疫、扶贫、开发等与经济发展相关工作。</w:t>
      </w:r>
    </w:p>
    <w:p>
      <w:pPr>
        <w:widowControl/>
        <w:numPr>
          <w:ilvl w:val="0"/>
          <w:numId w:val="2"/>
        </w:numPr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食品安全和安全生产监管办公室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负责宣传贯彻上级有关食品药品安全监管工作、安全生产监管工作、交通运输安全监管工作的方针政策和法律法规；开展非法生产、事故隐患及危险源（点）大排查和安全隐患大排查，制定监管措施，建立台帐、上报信息、协调执法活动等。</w:t>
      </w:r>
    </w:p>
    <w:p>
      <w:pPr>
        <w:widowControl/>
        <w:numPr>
          <w:ilvl w:val="0"/>
          <w:numId w:val="2"/>
        </w:numPr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综合治理环境卫生管理办公室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负责宣传贯彻国家关于社会管理综合治理的方针、政策；负责信访、维稳和社会矛盾纠纷的调解工作，协调派出所、司法所依法行政、法制宣传教育等工作。负责城乡环境卫生及基础设施维护等各项工作。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（五）便民服务中心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负责村级财务核算、农村居民三农资金一卡通的发放、来人来访接待、城乡居民计生办证、民政低保、救急难等各项工作。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办事处计划生育办公室与计划生育服务所联合办公。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办事处纪检监察室、与纪委合署办公。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办事处人民武装部，依法履行国防动员、民兵训练、预备役管理等职能。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共青团、妇联、工会等组织按照有关章程设置。</w:t>
      </w:r>
    </w:p>
    <w:p>
      <w:pPr>
        <w:widowControl/>
        <w:spacing w:line="600" w:lineRule="exact"/>
        <w:ind w:firstLine="602" w:firstLineChars="20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办事处年末实有财政拨款人员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48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人，行政编制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32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人，事业编制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16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人。     </w:t>
      </w:r>
    </w:p>
    <w:p>
      <w:pPr>
        <w:widowControl/>
        <w:shd w:val="clear" w:color="auto" w:fill="FFFFFF"/>
        <w:spacing w:line="560" w:lineRule="atLeast"/>
        <w:ind w:firstLine="627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三．收入支出情况</w:t>
      </w:r>
    </w:p>
    <w:p>
      <w:pPr>
        <w:widowControl/>
        <w:shd w:val="clear" w:color="auto" w:fill="FFFFFF"/>
        <w:spacing w:line="560" w:lineRule="atLeast"/>
        <w:ind w:firstLine="627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（一）201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年度收入总计1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860.08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万元，其中一般公共预算财政拨款收入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833.59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万元，政府性基金收入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万元，其他收入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1021.49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万元（融资资金收入）。支出总计1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975.05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万元（其中融资资金支出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964.61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万元）。</w:t>
      </w:r>
    </w:p>
    <w:p>
      <w:pPr>
        <w:spacing w:line="600" w:lineRule="exact"/>
        <w:ind w:left="588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（二）201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年度一般公共预算财政拨款支出情况</w:t>
      </w:r>
      <w:r>
        <w:rPr>
          <w:rFonts w:hint="eastAsia" w:ascii="宋体" w:hAnsi="宋体" w:cs="宋体"/>
          <w:b/>
          <w:color w:val="3D3D3D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　　</w:t>
      </w:r>
      <w:r>
        <w:rPr>
          <w:rFonts w:hint="eastAsia" w:ascii="宋体" w:hAnsi="宋体" w:cs="宋体"/>
          <w:b/>
          <w:color w:val="3D3D3D"/>
          <w:kern w:val="0"/>
          <w:sz w:val="30"/>
          <w:szCs w:val="30"/>
        </w:rPr>
        <w:t>201</w:t>
      </w:r>
      <w:r>
        <w:rPr>
          <w:rFonts w:hint="eastAsia" w:ascii="宋体" w:hAnsi="宋体" w:cs="宋体"/>
          <w:b/>
          <w:color w:val="3D3D3D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年度一般公共预算财政拨款支出合计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833.59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万元。其中：基本支出7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82.36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万元，占9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3.85</w:t>
      </w:r>
      <w:r>
        <w:rPr>
          <w:rFonts w:hint="eastAsia" w:ascii="宋体" w:hAnsi="宋体" w:cs="宋体"/>
          <w:b/>
          <w:color w:val="3D3D3D"/>
          <w:kern w:val="0"/>
          <w:sz w:val="30"/>
          <w:szCs w:val="30"/>
        </w:rPr>
        <w:t>%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，与上年比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增加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67.10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增加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9.38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%；项目支出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51.23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万元，占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6.15</w:t>
      </w:r>
      <w:r>
        <w:rPr>
          <w:rFonts w:hint="eastAsia" w:ascii="宋体" w:hAnsi="宋体" w:cs="宋体"/>
          <w:b/>
          <w:color w:val="3D3D3D"/>
          <w:kern w:val="0"/>
          <w:sz w:val="30"/>
          <w:szCs w:val="30"/>
        </w:rPr>
        <w:t>%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，比上年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减少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18.17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减少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26.18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%。基本支出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782.36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万元中，人员经费支出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627.31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万元，占8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0.18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%，比上年增加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35.22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万元，增加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5.95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%；日常公用经费支出1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55.05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万元，占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19.82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%，比上年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增加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31.88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增加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25.88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%。基本支出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中人员经费增加主要增加了职工医保、住房公积金及其他社会保障缴费，日常公用经费支出增加主要是工会经费及其他福利费有所提高。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   </w:t>
      </w:r>
    </w:p>
    <w:p>
      <w:pPr>
        <w:spacing w:before="24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四、项目绩效目标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　　泉峰办事处党工委领导经集体研究，制定了201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年工作计划，对各项重点项目建设、基础设施建设等，明确了绩效目标，主要体现在：</w:t>
      </w:r>
    </w:p>
    <w:p>
      <w:pPr>
        <w:ind w:left="360" w:firstLine="301" w:firstLineChars="100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>1.  重点工程项目建设。泉峰办事处的项目建设是提升常宁城市品味，繁荣城市经济，改善宜居常宁的民心和民生工程。这些项目是由城乡投、水务投、交通投、棚改投、环保投等投资公司融资和项目服务工作组借资、斥资承建（融资借资斥资本年总额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1021.49</w:t>
      </w:r>
      <w:r>
        <w:rPr>
          <w:rFonts w:hint="eastAsia" w:ascii="宋体" w:hAnsi="宋体"/>
          <w:b/>
          <w:sz w:val="30"/>
          <w:szCs w:val="30"/>
        </w:rPr>
        <w:t>万元，支出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964.61</w:t>
      </w:r>
      <w:r>
        <w:rPr>
          <w:rFonts w:hint="eastAsia" w:ascii="宋体" w:hAnsi="宋体"/>
          <w:b/>
          <w:sz w:val="30"/>
          <w:szCs w:val="30"/>
        </w:rPr>
        <w:t>万元），非财政拨款项目</w:t>
      </w:r>
      <w:r>
        <w:rPr>
          <w:rFonts w:hint="eastAsia" w:ascii="宋体" w:hAnsi="宋体"/>
          <w:b/>
          <w:sz w:val="30"/>
          <w:szCs w:val="30"/>
          <w:lang w:eastAsia="zh-CN"/>
        </w:rPr>
        <w:t>。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2019年，由于上级政策调整，西一环部分拆除未列入年度拆迁计划，但办事处仍千方百计在艰难中推进项目建设，全年共落实各类建设项目45个，招商引资项目3个。在全体干群勇于担当主动作为下，华康医院和益嘉豪庭的征地工作有序推进，万象崇文府、学府教育广场、东方四季城和夏联小学扩建等项目的施工顺利进行，基本达成各投资公司融资预期效益。</w:t>
      </w:r>
    </w:p>
    <w:p>
      <w:pPr>
        <w:ind w:firstLine="590" w:firstLineChars="196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2、城乡同治工作。成立专门队伍，加强对街道、集贸市场的管理，全面开展环境卫生“脏、乱、差”大整治，并制作了宣传片和各种宣传牌，宣传工作有声有色，增强了城乡居民的环卫意识、交通安全意识。通过整治，环境卫生、交通秩序明显好转。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　3、加强基层党组织和党风廉政建设，充分发挥村、</w:t>
      </w:r>
      <w:r>
        <w:rPr>
          <w:rFonts w:hint="eastAsia" w:ascii="宋体" w:hAnsi="宋体"/>
          <w:b/>
          <w:sz w:val="30"/>
          <w:szCs w:val="30"/>
          <w:lang w:eastAsia="zh-CN"/>
        </w:rPr>
        <w:t>社区</w:t>
      </w:r>
      <w:r>
        <w:rPr>
          <w:rFonts w:hint="eastAsia" w:ascii="宋体" w:hAnsi="宋体"/>
          <w:b/>
          <w:sz w:val="30"/>
          <w:szCs w:val="30"/>
        </w:rPr>
        <w:t>基层党组织的执政地位和作用。村级补助资金及</w:t>
      </w:r>
      <w:r>
        <w:rPr>
          <w:rFonts w:hint="eastAsia" w:ascii="宋体" w:hAnsi="宋体"/>
          <w:b/>
          <w:sz w:val="30"/>
          <w:szCs w:val="30"/>
          <w:lang w:eastAsia="zh-CN"/>
        </w:rPr>
        <w:t>社区</w:t>
      </w:r>
      <w:r>
        <w:rPr>
          <w:rFonts w:hint="eastAsia" w:ascii="宋体" w:hAnsi="宋体"/>
          <w:b/>
          <w:sz w:val="30"/>
          <w:szCs w:val="30"/>
        </w:rPr>
        <w:t>运转经费正常发放，保障村、社区社会公益事业的正常发展。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4、创新治理抓稳控，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扫</w:t>
      </w:r>
      <w:r>
        <w:rPr>
          <w:rFonts w:hint="eastAsia" w:ascii="宋体" w:hAnsi="宋体"/>
          <w:b/>
          <w:sz w:val="30"/>
          <w:szCs w:val="30"/>
        </w:rPr>
        <w:t>黑除恶，防毒禁毒强推进。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五、绩效评价工作情况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（一）绩效评价目的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本次自评的目的是了解本部门201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（二）绩效评价实施过程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本单位制定了部门支出绩效评价的工作方案、评价指标，成立了绩效评价工作领导小组、绩效评价工作组，绩效评价工作主要如下：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1、核实数据，对201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年度部门支出数据的准确性、真实性进行核实，将201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年度和201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b/>
          <w:sz w:val="30"/>
          <w:szCs w:val="30"/>
        </w:rPr>
        <w:t>年度部门支出情况进行比较分析。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2、查阅资料。查阅201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年度预算安排、预算追加、资金管理、经费支出、资产管理等相关文件资料和财务凭证。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3、归纳汇总。对收集的评价材料结合本单位情况进行综合分析、归纳汇总。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4、根据评价材料结合各项评价指标进行分析评分。</w:t>
      </w: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（三）评价结论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，办事处及时、准确、优质地完成预算编制；预算执行情况良好，支出管理规范，未出现因违规支出受到相关监督部门批评或处理的情况；资金管理制度较为完善，会计核算和账务处理规范，会计资料完整；工作中密切联系群众、服务群众，积极妥善处理群众来信来访，化解社会矛盾，加强机关自身建设和党风廉政建设。</w:t>
      </w:r>
    </w:p>
    <w:p>
      <w:pPr>
        <w:ind w:firstLine="420"/>
        <w:rPr>
          <w:rFonts w:ascii="宋体" w:hAnsi="宋体"/>
          <w:b/>
          <w:sz w:val="30"/>
          <w:szCs w:val="30"/>
        </w:rPr>
      </w:pPr>
    </w:p>
    <w:p>
      <w:pPr>
        <w:widowControl/>
        <w:spacing w:line="600" w:lineRule="exact"/>
        <w:ind w:right="1120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                             常宁市泉峰办事处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                    20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年6月26日</w:t>
      </w:r>
    </w:p>
    <w:p>
      <w:pPr>
        <w:ind w:left="420"/>
        <w:rPr>
          <w:b/>
          <w:sz w:val="30"/>
          <w:szCs w:val="30"/>
        </w:rPr>
      </w:pPr>
    </w:p>
    <w:p>
      <w:pPr>
        <w:ind w:left="420"/>
      </w:pPr>
    </w:p>
    <w:p>
      <w:pPr>
        <w:ind w:firstLine="42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C1A5A"/>
    <w:multiLevelType w:val="multilevel"/>
    <w:tmpl w:val="0EFC1A5A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CD2801"/>
    <w:multiLevelType w:val="singleLevel"/>
    <w:tmpl w:val="57CD280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0D0"/>
    <w:rsid w:val="00003B60"/>
    <w:rsid w:val="000373AB"/>
    <w:rsid w:val="00095E23"/>
    <w:rsid w:val="000D00C0"/>
    <w:rsid w:val="00113C73"/>
    <w:rsid w:val="00117F3C"/>
    <w:rsid w:val="0019183D"/>
    <w:rsid w:val="00244738"/>
    <w:rsid w:val="0024528B"/>
    <w:rsid w:val="00246F8C"/>
    <w:rsid w:val="002F5A70"/>
    <w:rsid w:val="0039571D"/>
    <w:rsid w:val="0041514E"/>
    <w:rsid w:val="00423D6C"/>
    <w:rsid w:val="00443C5D"/>
    <w:rsid w:val="004573BA"/>
    <w:rsid w:val="00463066"/>
    <w:rsid w:val="00474F4B"/>
    <w:rsid w:val="00493C02"/>
    <w:rsid w:val="0052751B"/>
    <w:rsid w:val="005D176A"/>
    <w:rsid w:val="005D2E50"/>
    <w:rsid w:val="005E74F3"/>
    <w:rsid w:val="00600BE8"/>
    <w:rsid w:val="006447C9"/>
    <w:rsid w:val="00660AAB"/>
    <w:rsid w:val="006A40CA"/>
    <w:rsid w:val="006C7FC5"/>
    <w:rsid w:val="007165DD"/>
    <w:rsid w:val="00731E61"/>
    <w:rsid w:val="00734131"/>
    <w:rsid w:val="00746A32"/>
    <w:rsid w:val="00754471"/>
    <w:rsid w:val="007765FB"/>
    <w:rsid w:val="007910D0"/>
    <w:rsid w:val="007A2242"/>
    <w:rsid w:val="0080201E"/>
    <w:rsid w:val="00803265"/>
    <w:rsid w:val="00811D5E"/>
    <w:rsid w:val="00816863"/>
    <w:rsid w:val="00861CBA"/>
    <w:rsid w:val="0086428E"/>
    <w:rsid w:val="00876DBD"/>
    <w:rsid w:val="008836DF"/>
    <w:rsid w:val="008B3DA9"/>
    <w:rsid w:val="00902F86"/>
    <w:rsid w:val="00906A6D"/>
    <w:rsid w:val="0091257F"/>
    <w:rsid w:val="00953CAF"/>
    <w:rsid w:val="00977A36"/>
    <w:rsid w:val="009A0A4D"/>
    <w:rsid w:val="009B18FC"/>
    <w:rsid w:val="009D13B6"/>
    <w:rsid w:val="009F3B49"/>
    <w:rsid w:val="00A07BA2"/>
    <w:rsid w:val="00A3524F"/>
    <w:rsid w:val="00A811F6"/>
    <w:rsid w:val="00A94D22"/>
    <w:rsid w:val="00AB0C50"/>
    <w:rsid w:val="00AB60C0"/>
    <w:rsid w:val="00AD092B"/>
    <w:rsid w:val="00AD7063"/>
    <w:rsid w:val="00AE3081"/>
    <w:rsid w:val="00AE36E1"/>
    <w:rsid w:val="00B157F5"/>
    <w:rsid w:val="00B16EF7"/>
    <w:rsid w:val="00B41B4F"/>
    <w:rsid w:val="00B47C36"/>
    <w:rsid w:val="00B73C9D"/>
    <w:rsid w:val="00B91B28"/>
    <w:rsid w:val="00B93AD8"/>
    <w:rsid w:val="00BD6B4B"/>
    <w:rsid w:val="00C35F88"/>
    <w:rsid w:val="00C82328"/>
    <w:rsid w:val="00C87B6E"/>
    <w:rsid w:val="00CE443E"/>
    <w:rsid w:val="00D17F82"/>
    <w:rsid w:val="00D410D0"/>
    <w:rsid w:val="00D43E50"/>
    <w:rsid w:val="00D43F2E"/>
    <w:rsid w:val="00D517E5"/>
    <w:rsid w:val="00D5359A"/>
    <w:rsid w:val="00D55F61"/>
    <w:rsid w:val="00D70F0C"/>
    <w:rsid w:val="00DF1A1C"/>
    <w:rsid w:val="00E03704"/>
    <w:rsid w:val="00E10F57"/>
    <w:rsid w:val="00E57844"/>
    <w:rsid w:val="00E91754"/>
    <w:rsid w:val="00E92B98"/>
    <w:rsid w:val="00EF40D2"/>
    <w:rsid w:val="00F24003"/>
    <w:rsid w:val="00F277BC"/>
    <w:rsid w:val="00F27863"/>
    <w:rsid w:val="00F463A1"/>
    <w:rsid w:val="00F650F3"/>
    <w:rsid w:val="06133FFE"/>
    <w:rsid w:val="1BF341DD"/>
    <w:rsid w:val="1D6F0898"/>
    <w:rsid w:val="26E21C72"/>
    <w:rsid w:val="2B27520A"/>
    <w:rsid w:val="2C8E7C26"/>
    <w:rsid w:val="2EC36CC3"/>
    <w:rsid w:val="2F733661"/>
    <w:rsid w:val="316C3BE5"/>
    <w:rsid w:val="43A76D86"/>
    <w:rsid w:val="49F02496"/>
    <w:rsid w:val="4BE934D6"/>
    <w:rsid w:val="4E9C76F2"/>
    <w:rsid w:val="51184C82"/>
    <w:rsid w:val="5C696334"/>
    <w:rsid w:val="62BA14DD"/>
    <w:rsid w:val="63032E48"/>
    <w:rsid w:val="692A798E"/>
    <w:rsid w:val="6D6A6162"/>
    <w:rsid w:val="6EE50A94"/>
    <w:rsid w:val="793A21F9"/>
    <w:rsid w:val="7B2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465</Words>
  <Characters>2654</Characters>
  <Lines>22</Lines>
  <Paragraphs>6</Paragraphs>
  <TotalTime>417</TotalTime>
  <ScaleCrop>false</ScaleCrop>
  <LinksUpToDate>false</LinksUpToDate>
  <CharactersWithSpaces>3113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2017-10-26T09:03:00Z</dcterms:created>
  <dc:creator>Administrator</dc:creator>
  <cp:lastModifiedBy>Administrator</cp:lastModifiedBy>
  <cp:lastPrinted>2019-06-29T11:52:00Z</cp:lastPrinted>
  <dcterms:modified xsi:type="dcterms:W3CDTF">2021-06-03T07:56:09Z</dcterms:modified>
  <dc:title>兰江乡人民政府2016年预算支出绩效评价报     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ED52180A910842B48827D81AD85682BA</vt:lpwstr>
  </property>
</Properties>
</file>