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left="-567" w:leftChars="-270" w:right="-50" w:rightChars="-24"/>
        <w:jc w:val="distribute"/>
        <w:rPr>
          <w:rFonts w:hint="eastAsia" w:ascii="华文中宋" w:hAnsi="华文中宋" w:eastAsia="华文中宋"/>
          <w:b/>
          <w:color w:val="FF0000"/>
          <w:kern w:val="0"/>
          <w:sz w:val="120"/>
          <w:szCs w:val="52"/>
        </w:rPr>
      </w:pPr>
    </w:p>
    <w:p>
      <w:pPr>
        <w:snapToGrid w:val="0"/>
        <w:spacing w:line="1800" w:lineRule="exact"/>
        <w:ind w:left="-567" w:leftChars="-270" w:right="-50" w:rightChars="-24"/>
        <w:jc w:val="distribute"/>
        <w:rPr>
          <w:rFonts w:ascii="华文中宋" w:hAnsi="华文中宋" w:eastAsia="华文中宋"/>
          <w:b/>
          <w:color w:val="FF0000"/>
          <w:kern w:val="0"/>
          <w:sz w:val="120"/>
          <w:szCs w:val="52"/>
        </w:rPr>
      </w:pPr>
      <w:r>
        <w:rPr>
          <w:rFonts w:hint="eastAsia" w:ascii="华文中宋" w:hAnsi="华文中宋" w:eastAsia="华文中宋"/>
          <w:b/>
          <w:color w:val="FF0000"/>
          <w:w w:val="70"/>
          <w:kern w:val="0"/>
          <w:sz w:val="120"/>
          <w:szCs w:val="52"/>
          <w:fitText w:val="9269" w:id="0"/>
        </w:rPr>
        <w:t>常  宁  市  教  育  局</w:t>
      </w:r>
    </w:p>
    <w:p>
      <w:pPr>
        <w:snapToGrid w:val="0"/>
        <w:spacing w:line="1800" w:lineRule="exact"/>
        <w:ind w:left="-567" w:leftChars="-270" w:right="-50" w:rightChars="-24"/>
        <w:jc w:val="distribute"/>
        <w:rPr>
          <w:rFonts w:ascii="华文中宋" w:hAnsi="华文中宋" w:eastAsia="华文中宋"/>
          <w:b/>
          <w:color w:val="FF0000"/>
          <w:kern w:val="0"/>
          <w:position w:val="6"/>
          <w:sz w:val="120"/>
          <w:szCs w:val="52"/>
        </w:rPr>
      </w:pPr>
      <w:r>
        <w:rPr>
          <w:rFonts w:hint="eastAsia" w:ascii="华文中宋" w:hAnsi="华文中宋" w:eastAsia="华文中宋"/>
          <w:b/>
          <w:color w:val="FF0000"/>
          <w:spacing w:val="1"/>
          <w:w w:val="60"/>
          <w:kern w:val="0"/>
          <w:sz w:val="120"/>
          <w:szCs w:val="52"/>
          <w:fitText w:val="9396" w:id="1"/>
        </w:rPr>
        <w:t>常宁市人力资源和社会保障</w:t>
      </w:r>
      <w:r>
        <w:rPr>
          <w:rFonts w:hint="eastAsia" w:ascii="华文中宋" w:hAnsi="华文中宋" w:eastAsia="华文中宋"/>
          <w:b/>
          <w:color w:val="FF0000"/>
          <w:spacing w:val="-1"/>
          <w:w w:val="60"/>
          <w:kern w:val="0"/>
          <w:sz w:val="120"/>
          <w:szCs w:val="52"/>
          <w:fitText w:val="9396" w:id="1"/>
        </w:rPr>
        <w:t>局</w:t>
      </w:r>
    </w:p>
    <w:p>
      <w:pPr>
        <w:snapToGrid w:val="0"/>
        <w:spacing w:line="1060" w:lineRule="exact"/>
        <w:ind w:left="-43" w:leftChars="-171" w:right="-334" w:rightChars="-159" w:hanging="316" w:hangingChars="99"/>
        <w:jc w:val="center"/>
        <w:rPr>
          <w:rFonts w:ascii="仿宋" w:hAnsi="仿宋" w:eastAsia="仿宋"/>
          <w:color w:val="000000"/>
          <w:spacing w:val="6"/>
          <w:kern w:val="0"/>
          <w:sz w:val="32"/>
          <w:szCs w:val="32"/>
        </w:rPr>
      </w:pPr>
      <w:r>
        <w:rPr>
          <w:rFonts w:hint="eastAsia" w:ascii="仿宋" w:hAnsi="仿宋" w:eastAsia="仿宋"/>
          <w:color w:val="000000"/>
          <w:kern w:val="0"/>
          <w:sz w:val="32"/>
          <w:szCs w:val="32"/>
        </w:rPr>
        <w:t>常教字〔2020〕47号</w:t>
      </w:r>
    </w:p>
    <w:p>
      <w:pPr>
        <w:tabs>
          <w:tab w:val="left" w:pos="8315"/>
        </w:tabs>
        <w:snapToGrid w:val="0"/>
        <w:spacing w:line="460" w:lineRule="exact"/>
        <w:ind w:left="-426" w:leftChars="-203"/>
        <w:jc w:val="center"/>
        <w:rPr>
          <w:rFonts w:ascii="黑体" w:hAnsi="黑体" w:eastAsia="黑体"/>
          <w:b/>
          <w:sz w:val="36"/>
          <w:szCs w:val="36"/>
        </w:rPr>
      </w:pPr>
      <w:bookmarkStart w:id="0" w:name="_GoBack"/>
      <w:bookmarkEnd w:id="0"/>
      <w:r>
        <w:rPr>
          <w:rFonts w:ascii="黑体" w:eastAsia="黑体"/>
          <w:b/>
          <w:sz w:val="52"/>
          <w:szCs w:val="52"/>
        </w:rPr>
        <w:pict>
          <v:line id="直接连接符 1" o:spid="_x0000_s1026" o:spt="20" style="position:absolute;left:0pt;margin-left:-42.9pt;margin-top:8.6pt;height:2.1pt;width:505.9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">
            <v:path arrowok="t"/>
            <v:fill focussize="0,0"/>
            <v:stroke weight="4pt" color="#FF0000"/>
            <v:imagedata o:title=""/>
            <o:lock v:ext="edit"/>
          </v:line>
        </w:pict>
      </w:r>
    </w:p>
    <w:p>
      <w:pPr>
        <w:jc w:val="center"/>
        <w:rPr>
          <w:rFonts w:ascii="黑体" w:hAnsi="黑体" w:eastAsia="黑体"/>
          <w:sz w:val="36"/>
          <w:szCs w:val="36"/>
        </w:rPr>
      </w:pPr>
      <w:r>
        <w:rPr>
          <w:rFonts w:hint="eastAsia" w:ascii="黑体" w:hAnsi="黑体" w:eastAsia="黑体"/>
          <w:sz w:val="36"/>
          <w:szCs w:val="36"/>
        </w:rPr>
        <w:t>常宁市教师系列职称评审量化推荐工作实施方案</w:t>
      </w:r>
    </w:p>
    <w:p>
      <w:pPr>
        <w:jc w:val="center"/>
        <w:rPr>
          <w:rFonts w:ascii="仿宋" w:hAnsi="仿宋" w:eastAsia="仿宋"/>
          <w:sz w:val="32"/>
          <w:szCs w:val="32"/>
        </w:rPr>
      </w:pPr>
      <w:r>
        <w:rPr>
          <w:rFonts w:hint="eastAsia" w:ascii="仿宋" w:hAnsi="仿宋" w:eastAsia="仿宋"/>
          <w:sz w:val="32"/>
          <w:szCs w:val="32"/>
        </w:rPr>
        <w:t>（试  行）</w:t>
      </w:r>
    </w:p>
    <w:p>
      <w:pPr>
        <w:spacing w:line="800" w:lineRule="exact"/>
        <w:ind w:firstLine="640" w:firstLineChars="200"/>
        <w:jc w:val="center"/>
        <w:rPr>
          <w:rFonts w:ascii="仿宋" w:hAnsi="仿宋" w:eastAsia="仿宋"/>
          <w:sz w:val="32"/>
          <w:szCs w:val="32"/>
        </w:rPr>
      </w:pPr>
    </w:p>
    <w:p>
      <w:pPr>
        <w:spacing w:line="696" w:lineRule="exact"/>
        <w:ind w:firstLine="640" w:firstLineChars="200"/>
        <w:rPr>
          <w:rFonts w:ascii="仿宋" w:hAnsi="仿宋" w:eastAsia="仿宋"/>
          <w:sz w:val="30"/>
          <w:szCs w:val="30"/>
        </w:rPr>
      </w:pPr>
      <w:r>
        <w:rPr>
          <w:rFonts w:hint="eastAsia" w:ascii="仿宋" w:hAnsi="仿宋" w:eastAsia="仿宋"/>
          <w:sz w:val="32"/>
          <w:szCs w:val="32"/>
        </w:rPr>
        <w:t>为做好我</w:t>
      </w:r>
      <w:r>
        <w:rPr>
          <w:rFonts w:hint="eastAsia" w:ascii="仿宋" w:hAnsi="仿宋" w:eastAsia="仿宋" w:cs="宋体"/>
          <w:sz w:val="32"/>
          <w:szCs w:val="32"/>
        </w:rPr>
        <w:t>市</w:t>
      </w:r>
      <w:r>
        <w:rPr>
          <w:rFonts w:hint="eastAsia" w:ascii="仿宋" w:hAnsi="仿宋" w:eastAsia="仿宋"/>
          <w:sz w:val="32"/>
          <w:szCs w:val="32"/>
        </w:rPr>
        <w:t>教师系列职称评审量化推荐工作，</w:t>
      </w:r>
      <w:r>
        <w:rPr>
          <w:rFonts w:hint="eastAsia" w:ascii="仿宋" w:hAnsi="仿宋" w:eastAsia="仿宋"/>
          <w:sz w:val="30"/>
          <w:szCs w:val="30"/>
        </w:rPr>
        <w:t>根据省职称改革工作领导小组办公室、省中小学教师系列职称改革工作领导小组《关于印发〈湖南省中小学教师系列职称申报评价及管理办法〉的通知》（湘职改办[2019]8号，以下简称《管理办法》）、</w:t>
      </w:r>
      <w:r>
        <w:rPr>
          <w:rFonts w:ascii="仿宋" w:hAnsi="仿宋" w:eastAsia="仿宋"/>
          <w:sz w:val="30"/>
          <w:szCs w:val="30"/>
        </w:rPr>
        <w:t>《省委办公厅 省政府办公厅关于深化职称制度改革的实施意见》（湘办发〔2017〕33号</w:t>
      </w:r>
      <w:r>
        <w:rPr>
          <w:rFonts w:hint="eastAsia" w:ascii="仿宋" w:hAnsi="仿宋" w:eastAsia="仿宋"/>
          <w:sz w:val="30"/>
          <w:szCs w:val="30"/>
        </w:rPr>
        <w:t>）以及衡阳市等上级相</w:t>
      </w:r>
      <w:r>
        <w:rPr>
          <w:rFonts w:ascii="仿宋" w:hAnsi="仿宋" w:eastAsia="仿宋"/>
          <w:sz w:val="30"/>
          <w:szCs w:val="30"/>
        </w:rPr>
        <w:t>关</w:t>
      </w:r>
      <w:r>
        <w:rPr>
          <w:rFonts w:hint="eastAsia" w:ascii="仿宋" w:hAnsi="仿宋" w:eastAsia="仿宋"/>
          <w:sz w:val="30"/>
          <w:szCs w:val="30"/>
        </w:rPr>
        <w:t>文件</w:t>
      </w:r>
      <w:r>
        <w:rPr>
          <w:rFonts w:ascii="仿宋" w:hAnsi="仿宋" w:eastAsia="仿宋"/>
          <w:sz w:val="30"/>
          <w:szCs w:val="30"/>
        </w:rPr>
        <w:t>精神和要求，</w:t>
      </w:r>
      <w:r>
        <w:rPr>
          <w:rFonts w:hint="eastAsia" w:ascii="仿宋" w:hAnsi="仿宋" w:eastAsia="仿宋"/>
          <w:sz w:val="32"/>
          <w:szCs w:val="32"/>
        </w:rPr>
        <w:t>结合我市教育实际，特制定本实施方案。</w:t>
      </w:r>
    </w:p>
    <w:p>
      <w:pPr>
        <w:pStyle w:val="11"/>
        <w:numPr>
          <w:ilvl w:val="0"/>
          <w:numId w:val="1"/>
        </w:numPr>
        <w:spacing w:line="696" w:lineRule="exact"/>
        <w:ind w:firstLineChars="0"/>
        <w:rPr>
          <w:rFonts w:ascii="楷体" w:hAnsi="楷体" w:eastAsia="楷体"/>
          <w:b/>
          <w:sz w:val="32"/>
          <w:szCs w:val="32"/>
        </w:rPr>
      </w:pPr>
      <w:r>
        <w:rPr>
          <w:rFonts w:hint="eastAsia" w:ascii="楷体" w:hAnsi="楷体" w:eastAsia="楷体"/>
          <w:b/>
          <w:sz w:val="32"/>
          <w:szCs w:val="32"/>
        </w:rPr>
        <w:t>指导思想</w:t>
      </w:r>
    </w:p>
    <w:p>
      <w:pPr>
        <w:spacing w:line="696" w:lineRule="exact"/>
        <w:ind w:firstLine="640" w:firstLineChars="200"/>
        <w:rPr>
          <w:rFonts w:ascii="楷体" w:hAnsi="楷体" w:eastAsia="楷体"/>
          <w:b/>
          <w:sz w:val="32"/>
          <w:szCs w:val="32"/>
        </w:rPr>
      </w:pPr>
      <w:r>
        <w:rPr>
          <w:rFonts w:hint="eastAsia" w:ascii="仿宋" w:hAnsi="仿宋" w:eastAsia="仿宋"/>
          <w:sz w:val="32"/>
          <w:szCs w:val="32"/>
        </w:rPr>
        <w:t>坚持以习近平新时代中国特色社会主义思想为指导，认真贯彻落实全国教育大会和《中共中央国务院关于全面深化新时代教师队伍建设改革的意见》（中发〔</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号）精神，遵循教育发展规律和教师成长规律，适应中小学素质教育和课程改革新要求，科学建立充分体现中小学教师岗位特点的评价标准，坚持德才兼备、全面考核，突出教育教学实绩，引导教师潜心教书育人，促进教师全面发展。</w:t>
      </w:r>
    </w:p>
    <w:p>
      <w:pPr>
        <w:pStyle w:val="11"/>
        <w:numPr>
          <w:ilvl w:val="0"/>
          <w:numId w:val="1"/>
        </w:numPr>
        <w:spacing w:line="696" w:lineRule="exact"/>
        <w:ind w:firstLineChars="0"/>
        <w:rPr>
          <w:rFonts w:ascii="楷体" w:hAnsi="楷体" w:eastAsia="楷体"/>
          <w:b/>
          <w:sz w:val="32"/>
          <w:szCs w:val="32"/>
        </w:rPr>
      </w:pPr>
      <w:r>
        <w:rPr>
          <w:rFonts w:hint="eastAsia" w:ascii="楷体" w:hAnsi="楷体" w:eastAsia="楷体"/>
          <w:b/>
          <w:sz w:val="32"/>
          <w:szCs w:val="32"/>
        </w:rPr>
        <w:t>评审范围及条件</w:t>
      </w:r>
    </w:p>
    <w:p>
      <w:pPr>
        <w:spacing w:line="696" w:lineRule="exact"/>
        <w:ind w:firstLine="640" w:firstLineChars="200"/>
        <w:rPr>
          <w:rFonts w:ascii="楷体" w:hAnsi="楷体" w:eastAsia="楷体"/>
          <w:b/>
          <w:sz w:val="32"/>
          <w:szCs w:val="32"/>
        </w:rPr>
      </w:pPr>
      <w:r>
        <w:rPr>
          <w:rFonts w:hint="eastAsia" w:ascii="仿宋" w:hAnsi="仿宋" w:eastAsia="仿宋"/>
          <w:sz w:val="32"/>
          <w:szCs w:val="32"/>
        </w:rPr>
        <w:t>全市普通中小学、职业中学、幼儿园、特殊教育学校、教研机构及校外教育机构中实行教师职称系列的现有在岗人员，凡符合《管理办法》规定的各类教师水平评价基本标准条件的，可按规定程序申报各级教师职称。民办中小学教师参照《管理办法》执行，由为其进行人事代理的县及县以上政府人力资源社会保障部门人才流动服务机构进行申报，其中正高级教师纳入我市计划内组织申报推荐。已经办理了退休手续或已到法定退休年龄（截止时间以当年文件规定时间为准）但尚未办理退休手续的人员，不属于申报推荐范围。</w:t>
      </w:r>
    </w:p>
    <w:p>
      <w:pPr>
        <w:spacing w:line="696" w:lineRule="exact"/>
        <w:ind w:firstLine="640" w:firstLineChars="200"/>
        <w:rPr>
          <w:rFonts w:ascii="楷体" w:hAnsi="楷体" w:eastAsia="楷体"/>
          <w:b/>
          <w:sz w:val="32"/>
          <w:szCs w:val="32"/>
        </w:rPr>
      </w:pPr>
      <w:r>
        <w:rPr>
          <w:rFonts w:hint="eastAsia" w:ascii="仿宋" w:hAnsi="仿宋" w:eastAsia="仿宋"/>
          <w:sz w:val="32"/>
          <w:szCs w:val="32"/>
        </w:rPr>
        <w:t>我市中小学教师系列正高级教师和中专教师系列正高级讲师（实验师）实行分开申报。凡参加我市中专教师系列正高级讲师（实验师）推荐申报的职业中学及校外教育机构等，不再纳入中小学教师系列正高级教师申报推荐范围。</w:t>
      </w:r>
    </w:p>
    <w:p>
      <w:pPr>
        <w:spacing w:line="696" w:lineRule="exact"/>
        <w:ind w:firstLine="640" w:firstLineChars="200"/>
        <w:rPr>
          <w:rFonts w:ascii="楷体" w:hAnsi="楷体" w:eastAsia="楷体"/>
          <w:b/>
          <w:sz w:val="32"/>
          <w:szCs w:val="32"/>
        </w:rPr>
      </w:pPr>
      <w:r>
        <w:rPr>
          <w:rFonts w:hint="eastAsia" w:ascii="仿宋" w:hAnsi="仿宋" w:eastAsia="仿宋"/>
          <w:sz w:val="32"/>
          <w:szCs w:val="32"/>
        </w:rPr>
        <w:t>中专教师系列的申报，按照申报当年省教育厅、省人力资源和社会保障厅下发的文件和市教育局、市人力资源和社会保障局下发的文件执行。</w:t>
      </w:r>
    </w:p>
    <w:p>
      <w:pPr>
        <w:spacing w:line="696" w:lineRule="exact"/>
        <w:ind w:firstLine="630" w:firstLineChars="196"/>
        <w:rPr>
          <w:rFonts w:ascii="楷体" w:hAnsi="楷体" w:eastAsia="楷体"/>
          <w:b/>
          <w:sz w:val="32"/>
          <w:szCs w:val="32"/>
        </w:rPr>
      </w:pPr>
      <w:r>
        <w:rPr>
          <w:rFonts w:hint="eastAsia" w:ascii="楷体" w:hAnsi="楷体" w:eastAsia="楷体"/>
          <w:b/>
          <w:sz w:val="32"/>
          <w:szCs w:val="32"/>
        </w:rPr>
        <w:t>三、组织机构及主要职责</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成立常宁市教师系列职称评审领导小组。</w:t>
      </w:r>
    </w:p>
    <w:p>
      <w:pPr>
        <w:spacing w:line="696" w:lineRule="exact"/>
        <w:ind w:firstLine="645"/>
        <w:rPr>
          <w:rFonts w:ascii="仿宋" w:hAnsi="仿宋" w:eastAsia="仿宋"/>
          <w:sz w:val="32"/>
          <w:szCs w:val="32"/>
        </w:rPr>
      </w:pPr>
      <w:r>
        <w:rPr>
          <w:rFonts w:hint="eastAsia" w:ascii="仿宋" w:hAnsi="仿宋" w:eastAsia="仿宋"/>
          <w:sz w:val="32"/>
          <w:szCs w:val="32"/>
        </w:rPr>
        <w:t>组  长：黄含茂  黎才发</w:t>
      </w:r>
    </w:p>
    <w:p>
      <w:pPr>
        <w:spacing w:line="696" w:lineRule="exact"/>
        <w:ind w:firstLine="645"/>
        <w:rPr>
          <w:rFonts w:ascii="仿宋" w:hAnsi="仿宋" w:eastAsia="仿宋"/>
          <w:sz w:val="32"/>
          <w:szCs w:val="32"/>
        </w:rPr>
      </w:pPr>
      <w:r>
        <w:rPr>
          <w:rFonts w:hint="eastAsia" w:ascii="仿宋" w:hAnsi="仿宋" w:eastAsia="仿宋"/>
          <w:sz w:val="32"/>
          <w:szCs w:val="32"/>
        </w:rPr>
        <w:t>副组长：肖卫东  封红伟</w:t>
      </w:r>
    </w:p>
    <w:p>
      <w:pPr>
        <w:spacing w:line="696" w:lineRule="exact"/>
        <w:ind w:firstLine="645"/>
        <w:rPr>
          <w:rFonts w:ascii="仿宋" w:hAnsi="仿宋" w:eastAsia="仿宋"/>
          <w:sz w:val="32"/>
          <w:szCs w:val="32"/>
        </w:rPr>
      </w:pPr>
      <w:r>
        <w:rPr>
          <w:rFonts w:hint="eastAsia" w:ascii="仿宋" w:hAnsi="仿宋" w:eastAsia="仿宋"/>
          <w:sz w:val="32"/>
          <w:szCs w:val="32"/>
        </w:rPr>
        <w:t xml:space="preserve">成  员：陈建湘  伍志方  </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（一）常宁市教育局职称改革工作领导小组成员及主要职责</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组  长：封红伟</w:t>
      </w:r>
      <w:r>
        <w:rPr>
          <w:rFonts w:ascii="仿宋" w:hAnsi="仿宋" w:eastAsia="仿宋"/>
          <w:sz w:val="32"/>
          <w:szCs w:val="32"/>
        </w:rPr>
        <w:br w:type="textWrapping"/>
      </w:r>
      <w:r>
        <w:rPr>
          <w:rFonts w:hint="eastAsia" w:ascii="仿宋" w:hAnsi="仿宋" w:eastAsia="仿宋"/>
          <w:sz w:val="32"/>
          <w:szCs w:val="32"/>
        </w:rPr>
        <w:t xml:space="preserve">    副组长：伍志方</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成  员：教育局其他班子成员</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主要职责：1、负责我市教育系统职称改革的决策，作出相关决定；2、审议通过职称评审（推荐）工作方案；3、确定年度评审岗位职数；4、审议通过资格审查工作小组、纪律监督工作小组、评委库、评委会成员；5、组织正高级、高级教师职称考评推荐工作和中级及以下教师职称评审工作；6、通过评审结果。</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领导小组下设办公室，办公室设教育局人事股，办公室主任由黄天明同志兼任。</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办公室主要职责：1、组织职称申报工作；2、对评审材料进行整理汇总；3、组织资格审查和职称评审工作；4、完成职称改革工作领导小组授权、交办的其他工作。</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（二）资格审查工作小组及主要职责</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组  长：肖卫东  封红伟</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副组长：陈建湘  伍志方</w:t>
      </w:r>
    </w:p>
    <w:p>
      <w:pPr>
        <w:spacing w:line="696" w:lineRule="exact"/>
        <w:ind w:firstLine="645"/>
        <w:rPr>
          <w:rFonts w:ascii="仿宋" w:hAnsi="仿宋" w:eastAsia="仿宋"/>
          <w:sz w:val="32"/>
          <w:szCs w:val="32"/>
        </w:rPr>
      </w:pPr>
      <w:r>
        <w:rPr>
          <w:rFonts w:hint="eastAsia" w:ascii="仿宋" w:hAnsi="仿宋" w:eastAsia="仿宋"/>
          <w:sz w:val="32"/>
          <w:szCs w:val="32"/>
        </w:rPr>
        <w:t>成  员：黄天明  刘  超  李  丹  吕诗清  滕小用</w:t>
      </w:r>
    </w:p>
    <w:p>
      <w:pPr>
        <w:spacing w:line="696" w:lineRule="exact"/>
        <w:ind w:firstLine="645"/>
        <w:rPr>
          <w:rFonts w:ascii="仿宋" w:hAnsi="仿宋" w:eastAsia="仿宋"/>
          <w:sz w:val="32"/>
          <w:szCs w:val="32"/>
        </w:rPr>
      </w:pPr>
      <w:r>
        <w:rPr>
          <w:rFonts w:hint="eastAsia" w:ascii="仿宋" w:hAnsi="仿宋" w:eastAsia="仿宋"/>
          <w:sz w:val="32"/>
          <w:szCs w:val="32"/>
        </w:rPr>
        <w:t xml:space="preserve">        胡少青  阳青柏  朱维丽  吴向荣  徐志军</w:t>
      </w:r>
    </w:p>
    <w:p>
      <w:pPr>
        <w:spacing w:line="696" w:lineRule="exact"/>
        <w:ind w:firstLine="1920" w:firstLineChars="600"/>
        <w:rPr>
          <w:rFonts w:ascii="仿宋" w:hAnsi="仿宋" w:eastAsia="仿宋"/>
          <w:sz w:val="32"/>
          <w:szCs w:val="32"/>
        </w:rPr>
      </w:pPr>
      <w:r>
        <w:rPr>
          <w:rFonts w:hint="eastAsia" w:ascii="仿宋" w:hAnsi="仿宋" w:eastAsia="仿宋"/>
          <w:sz w:val="32"/>
          <w:szCs w:val="32"/>
        </w:rPr>
        <w:t>吴玉生  张碧君  朱雯敏  廖  雨  周万冬</w:t>
      </w:r>
    </w:p>
    <w:p>
      <w:pPr>
        <w:spacing w:line="696" w:lineRule="exact"/>
        <w:ind w:firstLine="1920" w:firstLineChars="600"/>
        <w:rPr>
          <w:rFonts w:ascii="仿宋" w:hAnsi="仿宋" w:eastAsia="仿宋"/>
          <w:sz w:val="32"/>
          <w:szCs w:val="32"/>
        </w:rPr>
      </w:pPr>
      <w:r>
        <w:rPr>
          <w:rFonts w:hint="eastAsia" w:ascii="仿宋" w:hAnsi="仿宋" w:eastAsia="仿宋"/>
          <w:sz w:val="32"/>
          <w:szCs w:val="32"/>
        </w:rPr>
        <w:t>邓小兰  周灵芝</w:t>
      </w:r>
    </w:p>
    <w:p>
      <w:pPr>
        <w:spacing w:line="696" w:lineRule="exact"/>
        <w:ind w:firstLine="645"/>
        <w:rPr>
          <w:rFonts w:ascii="仿宋" w:hAnsi="仿宋" w:eastAsia="仿宋"/>
          <w:sz w:val="32"/>
          <w:szCs w:val="32"/>
        </w:rPr>
      </w:pPr>
      <w:r>
        <w:rPr>
          <w:rFonts w:hint="eastAsia" w:ascii="仿宋" w:hAnsi="仿宋" w:eastAsia="仿宋"/>
          <w:sz w:val="32"/>
          <w:szCs w:val="32"/>
        </w:rPr>
        <w:t>主要职责：1、制定资格审查工作方案；2、根据上级有关文件规定，对参评人员的资格条件进行复核；3、提出资格审查意见报我市教育局初审，人社局复审。</w:t>
      </w:r>
    </w:p>
    <w:p>
      <w:pPr>
        <w:spacing w:line="696" w:lineRule="exact"/>
        <w:ind w:firstLine="645"/>
        <w:rPr>
          <w:rFonts w:ascii="仿宋" w:hAnsi="仿宋" w:eastAsia="仿宋"/>
          <w:sz w:val="32"/>
          <w:szCs w:val="32"/>
        </w:rPr>
      </w:pPr>
      <w:r>
        <w:rPr>
          <w:rFonts w:hint="eastAsia" w:ascii="仿宋" w:hAnsi="仿宋" w:eastAsia="仿宋"/>
          <w:sz w:val="32"/>
          <w:szCs w:val="32"/>
        </w:rPr>
        <w:t>（三）纪律监督工作小组及主要职责</w:t>
      </w:r>
    </w:p>
    <w:p>
      <w:pPr>
        <w:spacing w:line="696" w:lineRule="exact"/>
        <w:ind w:firstLine="645"/>
        <w:rPr>
          <w:rFonts w:ascii="仿宋" w:hAnsi="仿宋" w:eastAsia="仿宋"/>
          <w:sz w:val="32"/>
          <w:szCs w:val="32"/>
        </w:rPr>
      </w:pPr>
      <w:r>
        <w:rPr>
          <w:rFonts w:hint="eastAsia" w:ascii="仿宋" w:hAnsi="仿宋" w:eastAsia="仿宋"/>
          <w:sz w:val="32"/>
          <w:szCs w:val="32"/>
        </w:rPr>
        <w:t>组长：李国宝</w:t>
      </w:r>
    </w:p>
    <w:p>
      <w:pPr>
        <w:spacing w:line="696" w:lineRule="exact"/>
        <w:ind w:firstLine="645"/>
        <w:rPr>
          <w:rFonts w:hint="eastAsia" w:ascii="仿宋" w:hAnsi="仿宋" w:eastAsia="仿宋"/>
          <w:sz w:val="32"/>
          <w:szCs w:val="32"/>
          <w:lang w:eastAsia="zh-CN"/>
        </w:rPr>
      </w:pPr>
      <w:r>
        <w:rPr>
          <w:rFonts w:hint="eastAsia" w:ascii="仿宋" w:hAnsi="仿宋" w:eastAsia="仿宋"/>
          <w:sz w:val="32"/>
          <w:szCs w:val="32"/>
        </w:rPr>
        <w:t>成员：市驻教育</w:t>
      </w:r>
      <w:r>
        <w:rPr>
          <w:rFonts w:hint="eastAsia" w:ascii="仿宋" w:hAnsi="仿宋" w:eastAsia="仿宋"/>
          <w:sz w:val="32"/>
          <w:szCs w:val="32"/>
          <w:lang w:eastAsia="zh-CN"/>
        </w:rPr>
        <w:t>纪检组</w:t>
      </w:r>
    </w:p>
    <w:p>
      <w:pPr>
        <w:spacing w:line="696" w:lineRule="exact"/>
        <w:ind w:firstLine="645"/>
        <w:rPr>
          <w:rFonts w:ascii="仿宋" w:hAnsi="仿宋" w:eastAsia="仿宋"/>
          <w:sz w:val="32"/>
          <w:szCs w:val="32"/>
        </w:rPr>
      </w:pPr>
      <w:r>
        <w:rPr>
          <w:rFonts w:hint="eastAsia" w:ascii="仿宋" w:hAnsi="仿宋" w:eastAsia="仿宋"/>
          <w:sz w:val="32"/>
          <w:szCs w:val="32"/>
        </w:rPr>
        <w:t>主要职责：1、制定纪律监督工作方案；2、全程监督职称评审工作；3、参与评委专家的抽取与监督；4、对评委及工作人员提出纪律要求并监督；5、对评审过程中重大违纪违规事件进行调查处理等；6、对参评对象伪造评审材料、谎报成果业绩和送礼拉票等违纪违规事件进行调查核实处理；7、受理投诉举报提出处理意见，并予以答复。</w:t>
      </w:r>
    </w:p>
    <w:p>
      <w:pPr>
        <w:spacing w:line="696" w:lineRule="exact"/>
        <w:ind w:firstLine="630" w:firstLineChars="196"/>
        <w:rPr>
          <w:rFonts w:ascii="楷体" w:hAnsi="楷体" w:eastAsia="楷体"/>
          <w:b/>
          <w:sz w:val="32"/>
          <w:szCs w:val="32"/>
        </w:rPr>
      </w:pPr>
      <w:r>
        <w:rPr>
          <w:rFonts w:hint="eastAsia" w:ascii="楷体" w:hAnsi="楷体" w:eastAsia="楷体"/>
          <w:b/>
          <w:sz w:val="32"/>
          <w:szCs w:val="32"/>
        </w:rPr>
        <w:t>四、工作任务</w:t>
      </w:r>
    </w:p>
    <w:p>
      <w:pPr>
        <w:spacing w:line="696" w:lineRule="exact"/>
        <w:ind w:firstLine="645"/>
        <w:rPr>
          <w:rFonts w:ascii="仿宋" w:hAnsi="仿宋" w:eastAsia="仿宋"/>
          <w:sz w:val="32"/>
          <w:szCs w:val="32"/>
        </w:rPr>
      </w:pPr>
      <w:r>
        <w:rPr>
          <w:rFonts w:hint="eastAsia" w:ascii="仿宋" w:hAnsi="仿宋" w:eastAsia="仿宋"/>
          <w:sz w:val="32"/>
          <w:szCs w:val="32"/>
        </w:rPr>
        <w:t>（一）完成我市正高级、高级教师职称考评推荐工作。</w:t>
      </w:r>
    </w:p>
    <w:p>
      <w:pPr>
        <w:spacing w:line="696" w:lineRule="exact"/>
        <w:ind w:firstLine="645"/>
        <w:rPr>
          <w:rFonts w:ascii="仿宋" w:hAnsi="仿宋" w:eastAsia="仿宋"/>
          <w:sz w:val="32"/>
          <w:szCs w:val="32"/>
        </w:rPr>
      </w:pPr>
      <w:r>
        <w:rPr>
          <w:rFonts w:hint="eastAsia" w:ascii="仿宋" w:hAnsi="仿宋" w:eastAsia="仿宋"/>
          <w:sz w:val="32"/>
          <w:szCs w:val="32"/>
        </w:rPr>
        <w:t>（二）完成我市教师中级职称考评推荐，并由人社、教育联合组织实施评审的有关工作。</w:t>
      </w:r>
    </w:p>
    <w:p>
      <w:pPr>
        <w:spacing w:line="696" w:lineRule="exact"/>
        <w:ind w:firstLine="645"/>
        <w:rPr>
          <w:rFonts w:ascii="仿宋" w:hAnsi="仿宋" w:eastAsia="仿宋"/>
          <w:sz w:val="32"/>
          <w:szCs w:val="32"/>
        </w:rPr>
      </w:pPr>
      <w:r>
        <w:rPr>
          <w:rFonts w:hint="eastAsia" w:ascii="仿宋" w:hAnsi="仿宋" w:eastAsia="仿宋"/>
          <w:sz w:val="32"/>
          <w:szCs w:val="32"/>
        </w:rPr>
        <w:t>（三）完成我市教师系列初任职称认定的有关工作。</w:t>
      </w:r>
    </w:p>
    <w:p>
      <w:pPr>
        <w:pStyle w:val="11"/>
        <w:numPr>
          <w:ilvl w:val="0"/>
          <w:numId w:val="2"/>
        </w:numPr>
        <w:spacing w:line="696" w:lineRule="exact"/>
        <w:ind w:firstLineChars="0"/>
        <w:rPr>
          <w:rFonts w:ascii="楷体" w:hAnsi="楷体" w:eastAsia="楷体"/>
          <w:b/>
          <w:sz w:val="32"/>
          <w:szCs w:val="32"/>
        </w:rPr>
      </w:pPr>
      <w:r>
        <w:rPr>
          <w:rFonts w:hint="eastAsia" w:ascii="楷体" w:hAnsi="楷体" w:eastAsia="楷体"/>
          <w:b/>
          <w:sz w:val="32"/>
          <w:szCs w:val="32"/>
        </w:rPr>
        <w:t>量化推荐方法</w:t>
      </w:r>
    </w:p>
    <w:p>
      <w:pPr>
        <w:spacing w:line="696" w:lineRule="exact"/>
        <w:ind w:firstLine="645"/>
        <w:rPr>
          <w:rFonts w:ascii="仿宋" w:hAnsi="仿宋" w:eastAsia="仿宋"/>
          <w:sz w:val="32"/>
          <w:szCs w:val="32"/>
        </w:rPr>
      </w:pPr>
      <w:r>
        <w:rPr>
          <w:rFonts w:hint="eastAsia" w:ascii="仿宋" w:hAnsi="仿宋" w:eastAsia="仿宋"/>
          <w:sz w:val="32"/>
          <w:szCs w:val="32"/>
        </w:rPr>
        <w:t>我市教师系列职称申报实行量化考核推荐，采取学校考评与实地考核相结合的方法。学校（单位）考评小组根据制定的《量化方案》及学校（单位）推荐工作方案，对申报对象进行量化考评（量化为85分）与实地考核（量化为15分），量化总分为100分。</w:t>
      </w:r>
    </w:p>
    <w:p>
      <w:pPr>
        <w:spacing w:line="696" w:lineRule="exact"/>
        <w:ind w:firstLine="640" w:firstLineChars="200"/>
        <w:rPr>
          <w:rFonts w:ascii="仿宋" w:hAnsi="仿宋" w:eastAsia="仿宋"/>
          <w:sz w:val="32"/>
          <w:szCs w:val="32"/>
        </w:rPr>
      </w:pPr>
      <w:r>
        <w:rPr>
          <w:rFonts w:hint="eastAsia" w:ascii="仿宋" w:hAnsi="仿宋" w:eastAsia="仿宋"/>
          <w:sz w:val="32"/>
          <w:szCs w:val="32"/>
        </w:rPr>
        <w:t>（1）考评（核）内容（项目）及量化方式如下表：</w:t>
      </w:r>
    </w:p>
    <w:p>
      <w:pPr>
        <w:spacing w:line="696" w:lineRule="exact"/>
        <w:rPr>
          <w:rFonts w:ascii="仿宋" w:hAnsi="仿宋" w:eastAsia="仿宋"/>
          <w:sz w:val="32"/>
          <w:szCs w:val="32"/>
        </w:rPr>
      </w:pPr>
    </w:p>
    <w:p>
      <w:pPr>
        <w:spacing w:line="696" w:lineRule="exact"/>
        <w:rPr>
          <w:rFonts w:ascii="仿宋" w:hAnsi="仿宋" w:eastAsia="仿宋"/>
          <w:sz w:val="32"/>
          <w:szCs w:val="32"/>
        </w:rPr>
      </w:pPr>
    </w:p>
    <w:p>
      <w:pPr>
        <w:spacing w:line="696" w:lineRule="exact"/>
        <w:rPr>
          <w:rFonts w:ascii="仿宋" w:hAnsi="仿宋" w:eastAsia="仿宋"/>
          <w:sz w:val="32"/>
          <w:szCs w:val="32"/>
        </w:rPr>
      </w:pPr>
    </w:p>
    <w:p>
      <w:pPr>
        <w:spacing w:line="696" w:lineRule="exact"/>
        <w:rPr>
          <w:rFonts w:ascii="仿宋" w:hAnsi="仿宋" w:eastAsia="仿宋"/>
          <w:sz w:val="32"/>
          <w:szCs w:val="32"/>
        </w:rPr>
      </w:pPr>
    </w:p>
    <w:p>
      <w:pPr>
        <w:spacing w:line="696" w:lineRule="exact"/>
        <w:rPr>
          <w:rFonts w:ascii="仿宋" w:hAnsi="仿宋" w:eastAsia="仿宋"/>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768"/>
        <w:gridCol w:w="615"/>
        <w:gridCol w:w="3306"/>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768" w:type="dxa"/>
            <w:vAlign w:val="center"/>
          </w:tcPr>
          <w:p>
            <w:pPr>
              <w:jc w:val="center"/>
              <w:rPr>
                <w:rFonts w:asciiTheme="minorEastAsia" w:hAnsiTheme="minorEastAsia"/>
                <w:sz w:val="24"/>
                <w:szCs w:val="24"/>
              </w:rPr>
            </w:pPr>
            <w:r>
              <w:rPr>
                <w:rFonts w:hint="eastAsia" w:asciiTheme="minorEastAsia" w:hAnsiTheme="minorEastAsia"/>
                <w:sz w:val="24"/>
                <w:szCs w:val="24"/>
              </w:rPr>
              <w:t>项目</w:t>
            </w: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分值</w:t>
            </w:r>
          </w:p>
        </w:tc>
        <w:tc>
          <w:tcPr>
            <w:tcW w:w="3306" w:type="dxa"/>
            <w:vAlign w:val="center"/>
          </w:tcPr>
          <w:p>
            <w:pPr>
              <w:jc w:val="center"/>
              <w:rPr>
                <w:rFonts w:asciiTheme="minorEastAsia" w:hAnsiTheme="minorEastAsia"/>
                <w:sz w:val="24"/>
                <w:szCs w:val="24"/>
              </w:rPr>
            </w:pPr>
            <w:r>
              <w:rPr>
                <w:rFonts w:hint="eastAsia" w:asciiTheme="minorEastAsia" w:hAnsiTheme="minorEastAsia"/>
                <w:sz w:val="24"/>
                <w:szCs w:val="24"/>
              </w:rPr>
              <w:t>内      容</w:t>
            </w:r>
          </w:p>
        </w:tc>
        <w:tc>
          <w:tcPr>
            <w:tcW w:w="3306" w:type="dxa"/>
            <w:vAlign w:val="center"/>
          </w:tcPr>
          <w:p>
            <w:pPr>
              <w:jc w:val="center"/>
              <w:rPr>
                <w:rFonts w:asciiTheme="minorEastAsia" w:hAnsiTheme="minorEastAsia"/>
                <w:sz w:val="24"/>
                <w:szCs w:val="24"/>
              </w:rPr>
            </w:pPr>
            <w:r>
              <w:rPr>
                <w:rFonts w:hint="eastAsia" w:asciiTheme="minorEastAsia" w:hAnsiTheme="minorEastAsia"/>
                <w:sz w:val="24"/>
                <w:szCs w:val="24"/>
              </w:rPr>
              <w:t>量  化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768"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基本条件与综合荣誉材料、继续教育、班主任等（43分）</w:t>
            </w:r>
          </w:p>
        </w:tc>
        <w:tc>
          <w:tcPr>
            <w:tcW w:w="615" w:type="dxa"/>
            <w:vAlign w:val="center"/>
          </w:tcPr>
          <w:p>
            <w:pPr>
              <w:jc w:val="center"/>
              <w:rPr>
                <w:rFonts w:asciiTheme="minorEastAsia" w:hAnsiTheme="minorEastAsia"/>
                <w:sz w:val="24"/>
                <w:szCs w:val="24"/>
              </w:rPr>
            </w:pP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（1）教师资格要求</w:t>
            </w: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具备《教师法》规定的相应教师资格证书，并且教师资格定期注册合格。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2分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（2）学历证书</w:t>
            </w:r>
          </w:p>
        </w:tc>
        <w:tc>
          <w:tcPr>
            <w:tcW w:w="3306" w:type="dxa"/>
            <w:vAlign w:val="center"/>
          </w:tcPr>
          <w:p>
            <w:pPr>
              <w:ind w:firstLine="300" w:firstLineChars="200"/>
              <w:rPr>
                <w:rFonts w:asciiTheme="minorEastAsia" w:hAnsiTheme="minorEastAsia"/>
                <w:sz w:val="15"/>
                <w:szCs w:val="15"/>
              </w:rPr>
            </w:pPr>
            <w:r>
              <w:rPr>
                <w:rFonts w:hint="eastAsia" w:asciiTheme="minorEastAsia" w:hAnsiTheme="minorEastAsia"/>
                <w:sz w:val="15"/>
                <w:szCs w:val="15"/>
              </w:rPr>
              <w:t>具有《教师法》规定的合格学历不计分，提高一个层次学历记1分。最多不超过2分。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6分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（3）专业技术任职资历</w:t>
            </w: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申报高级教师任一级满5年不计分，申报一级教师任二级满4年（中师在小学、幼儿园要满5年）不计分，每增加一年加0.4分。最多不超过6分。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12分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（4）从事教育工作年限</w:t>
            </w: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从事教育工作每一年记0.4分。最多不超过12分。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2分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（5）近五年年度考核表</w:t>
            </w: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都考核合格不计分，每考核一个优秀记0.5分；立三等功及以上记1分。最多不超过2分。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 xml:space="preserve">5分 </w:t>
            </w:r>
          </w:p>
        </w:tc>
        <w:tc>
          <w:tcPr>
            <w:tcW w:w="3306" w:type="dxa"/>
            <w:vMerge w:val="restart"/>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（6）中小学：农村学校或薄弱学校任教经历；援藏援疆和“三区”支教经历</w:t>
            </w:r>
          </w:p>
          <w:p>
            <w:pPr>
              <w:ind w:firstLine="360" w:firstLineChars="200"/>
              <w:rPr>
                <w:rFonts w:asciiTheme="minorEastAsia" w:hAnsiTheme="minorEastAsia"/>
                <w:sz w:val="18"/>
                <w:szCs w:val="18"/>
              </w:rPr>
            </w:pPr>
            <w:r>
              <w:rPr>
                <w:rFonts w:hint="eastAsia" w:asciiTheme="minorEastAsia" w:hAnsiTheme="minorEastAsia"/>
                <w:sz w:val="18"/>
                <w:szCs w:val="18"/>
              </w:rPr>
              <w:t>幼儿园:对口支援工作（含送教下乡、送培到县）。</w:t>
            </w: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中小学：申报高级教师满二年不计分，申报一级教师满一年不计分，每增加一年记0.4分；援藏援疆期满且合格记5分；“三区”支教一年期满且合格记2分，每增加一年加1分。最多不超过5分。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Merge w:val="continue"/>
            <w:vAlign w:val="center"/>
          </w:tcPr>
          <w:p>
            <w:pPr>
              <w:jc w:val="center"/>
              <w:rPr>
                <w:rFonts w:asciiTheme="minorEastAsia" w:hAnsiTheme="minorEastAsia"/>
                <w:sz w:val="24"/>
                <w:szCs w:val="24"/>
              </w:rPr>
            </w:pPr>
          </w:p>
        </w:tc>
        <w:tc>
          <w:tcPr>
            <w:tcW w:w="3306" w:type="dxa"/>
            <w:vMerge w:val="continue"/>
            <w:vAlign w:val="center"/>
          </w:tcPr>
          <w:p>
            <w:pPr>
              <w:ind w:firstLine="360" w:firstLineChars="200"/>
              <w:rPr>
                <w:rFonts w:asciiTheme="minorEastAsia" w:hAnsiTheme="minorEastAsia"/>
                <w:sz w:val="18"/>
                <w:szCs w:val="18"/>
              </w:rPr>
            </w:pP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幼儿园：对口支援满三次不计分，每增加一次加1分。最多不超过5分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3分</w:t>
            </w:r>
          </w:p>
        </w:tc>
        <w:tc>
          <w:tcPr>
            <w:tcW w:w="3306" w:type="dxa"/>
            <w:vAlign w:val="center"/>
          </w:tcPr>
          <w:p>
            <w:pPr>
              <w:ind w:firstLine="420" w:firstLineChars="200"/>
              <w:rPr>
                <w:rFonts w:asciiTheme="minorEastAsia" w:hAnsiTheme="minorEastAsia"/>
                <w:sz w:val="24"/>
                <w:szCs w:val="24"/>
              </w:rPr>
            </w:pPr>
            <w:r>
              <w:rPr>
                <w:rFonts w:hint="eastAsia" w:asciiTheme="minorEastAsia" w:hAnsiTheme="minorEastAsia"/>
                <w:szCs w:val="21"/>
              </w:rPr>
              <w:t>(7)近五年教学工作量饱满(课后服务课不记入教学工作量)。</w:t>
            </w:r>
            <w:r>
              <w:rPr>
                <w:rFonts w:hint="eastAsia" w:ascii="宋体" w:hAnsi="宋体" w:cs="宋体"/>
                <w:sz w:val="18"/>
                <w:szCs w:val="18"/>
              </w:rPr>
              <w:t>一线教师达到当地教育行政部门规定的教学工作量；除特殊教育学校管理人员或进修、在职攻读学位人员的教学工作量不少于一线教师的1/4 外，其余中小学校管理人员或进修、在职攻读学位人员的教学工作量不少于一线教师的1/3。校长、书记等管理人员的教学工作量，除为所在学校学生系统讲授国家规定开设科目的课程以外，主持学校教研教改项目，推动校园文化建设，开展教师思想政治、师德师风、心理健康教育和现代教育技术培训，开展学生德育教育、安全教育，开设选修课程、校本课程，为本校师生作专题学术报告等也可记入教学工作量。</w:t>
            </w:r>
          </w:p>
        </w:tc>
        <w:tc>
          <w:tcPr>
            <w:tcW w:w="3306" w:type="dxa"/>
            <w:vAlign w:val="center"/>
          </w:tcPr>
          <w:p>
            <w:pPr>
              <w:ind w:firstLine="360" w:firstLineChars="200"/>
              <w:rPr>
                <w:rFonts w:asciiTheme="minorEastAsia" w:hAnsiTheme="minorEastAsia"/>
                <w:sz w:val="18"/>
                <w:szCs w:val="18"/>
              </w:rPr>
            </w:pPr>
            <w:r>
              <w:rPr>
                <w:rFonts w:hint="eastAsia" w:ascii="宋体" w:hAnsi="宋体" w:cs="宋体"/>
                <w:sz w:val="18"/>
                <w:szCs w:val="18"/>
              </w:rPr>
              <w:t>查看原始课表（包括周计划）；饱和工作量记2分，超工作量加记1分。最多不超过3分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4分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（8)外语、计算机、继续教育</w:t>
            </w:r>
          </w:p>
        </w:tc>
        <w:tc>
          <w:tcPr>
            <w:tcW w:w="3306" w:type="dxa"/>
            <w:vAlign w:val="center"/>
          </w:tcPr>
          <w:p>
            <w:pPr>
              <w:ind w:firstLine="360" w:firstLineChars="200"/>
              <w:rPr>
                <w:rFonts w:ascii="仿宋_GB2312" w:hAnsi="仿宋"/>
                <w:sz w:val="18"/>
                <w:szCs w:val="18"/>
              </w:rPr>
            </w:pPr>
            <w:r>
              <w:rPr>
                <w:rFonts w:hint="eastAsia" w:ascii="宋体" w:hAnsi="宋体" w:cs="宋体"/>
                <w:sz w:val="18"/>
                <w:szCs w:val="18"/>
              </w:rPr>
              <w:t>申报高级教师：具有职称外语水平证1分(B级及以上)，职称计算机水平证1分(3个科目及以上)，继续教育合格证记</w:t>
            </w:r>
            <w:r>
              <w:rPr>
                <w:rFonts w:ascii="宋体" w:hAnsi="宋体" w:cs="宋体"/>
                <w:sz w:val="18"/>
                <w:szCs w:val="18"/>
              </w:rPr>
              <w:t>1</w:t>
            </w:r>
            <w:r>
              <w:rPr>
                <w:rFonts w:hint="eastAsia" w:ascii="宋体" w:hAnsi="宋体" w:cs="宋体"/>
                <w:sz w:val="18"/>
                <w:szCs w:val="18"/>
              </w:rPr>
              <w:t>分，</w:t>
            </w:r>
            <w:r>
              <w:rPr>
                <w:rFonts w:hint="eastAsia" w:ascii="仿宋_GB2312" w:hAnsi="仿宋"/>
                <w:sz w:val="18"/>
                <w:szCs w:val="18"/>
              </w:rPr>
              <w:t>普通话超过达标水平记1分。最多不超过4分。</w:t>
            </w:r>
          </w:p>
          <w:p>
            <w:pPr>
              <w:ind w:firstLine="360" w:firstLineChars="200"/>
              <w:rPr>
                <w:rFonts w:asciiTheme="minorEastAsia" w:hAnsiTheme="minorEastAsia"/>
                <w:sz w:val="18"/>
                <w:szCs w:val="18"/>
              </w:rPr>
            </w:pPr>
            <w:r>
              <w:rPr>
                <w:rFonts w:hint="eastAsia" w:ascii="仿宋_GB2312" w:hAnsi="仿宋"/>
                <w:sz w:val="18"/>
                <w:szCs w:val="18"/>
              </w:rPr>
              <w:t>申报一级教师：继续教育达标记3分（含信息技术应用能力提升工程合格证书），普通话超过达标水平记1分。最多不超过4分。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5分</w:t>
            </w: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（9）任现职以来担任班主任、辅导员等学生管理工作</w:t>
            </w:r>
          </w:p>
        </w:tc>
        <w:tc>
          <w:tcPr>
            <w:tcW w:w="3306" w:type="dxa"/>
            <w:vAlign w:val="center"/>
          </w:tcPr>
          <w:p>
            <w:pPr>
              <w:ind w:firstLine="360" w:firstLineChars="200"/>
              <w:rPr>
                <w:rFonts w:asciiTheme="minorEastAsia" w:hAnsiTheme="minorEastAsia"/>
                <w:sz w:val="18"/>
                <w:szCs w:val="18"/>
              </w:rPr>
            </w:pPr>
            <w:r>
              <w:rPr>
                <w:rFonts w:hint="eastAsia" w:ascii="宋体" w:hAnsi="宋体" w:cs="宋体"/>
                <w:sz w:val="18"/>
                <w:szCs w:val="18"/>
              </w:rPr>
              <w:t>满</w:t>
            </w:r>
            <w:r>
              <w:rPr>
                <w:rFonts w:ascii="宋体" w:hAnsi="宋体" w:cs="宋体"/>
                <w:sz w:val="18"/>
                <w:szCs w:val="18"/>
              </w:rPr>
              <w:t>3</w:t>
            </w:r>
            <w:r>
              <w:rPr>
                <w:rFonts w:hint="eastAsia" w:ascii="宋体" w:hAnsi="宋体" w:cs="宋体"/>
                <w:sz w:val="18"/>
                <w:szCs w:val="18"/>
              </w:rPr>
              <w:t>年记</w:t>
            </w:r>
            <w:r>
              <w:rPr>
                <w:rFonts w:ascii="宋体" w:hAnsi="宋体" w:cs="宋体"/>
                <w:sz w:val="18"/>
                <w:szCs w:val="18"/>
              </w:rPr>
              <w:t>1</w:t>
            </w:r>
            <w:r>
              <w:rPr>
                <w:rFonts w:hint="eastAsia" w:ascii="宋体" w:hAnsi="宋体" w:cs="宋体"/>
                <w:sz w:val="18"/>
                <w:szCs w:val="18"/>
              </w:rPr>
              <w:t>分，每增加一年加</w:t>
            </w:r>
            <w:r>
              <w:rPr>
                <w:rFonts w:ascii="宋体" w:hAnsi="宋体" w:cs="宋体"/>
                <w:sz w:val="18"/>
                <w:szCs w:val="18"/>
              </w:rPr>
              <w:t>0.</w:t>
            </w:r>
            <w:r>
              <w:rPr>
                <w:rFonts w:hint="eastAsia" w:ascii="宋体" w:hAnsi="宋体" w:cs="宋体"/>
                <w:sz w:val="18"/>
                <w:szCs w:val="18"/>
              </w:rPr>
              <w:t>4分。最多不超过5分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jc w:val="center"/>
              <w:rPr>
                <w:rFonts w:asciiTheme="minorEastAsia" w:hAnsiTheme="minorEastAsia"/>
                <w:sz w:val="24"/>
                <w:szCs w:val="24"/>
              </w:rPr>
            </w:pPr>
          </w:p>
        </w:tc>
        <w:tc>
          <w:tcPr>
            <w:tcW w:w="768" w:type="dxa"/>
            <w:vMerge w:val="continue"/>
            <w:vAlign w:val="center"/>
          </w:tcPr>
          <w:p>
            <w:pPr>
              <w:jc w:val="center"/>
              <w:rPr>
                <w:rFonts w:asciiTheme="minorEastAsia" w:hAnsiTheme="minorEastAsia"/>
                <w:sz w:val="24"/>
                <w:szCs w:val="24"/>
              </w:rPr>
            </w:pP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4分</w:t>
            </w: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（10）任现职以来师德师风和教书育人方面：获党委政府（国、省、市、县）、教育行政部门表彰奖励：模范教师、师德楷模、教书育人楷模、优秀教师、优秀乡村教师、优秀教育工作者、优秀班主任等。</w:t>
            </w:r>
          </w:p>
        </w:tc>
        <w:tc>
          <w:tcPr>
            <w:tcW w:w="3306" w:type="dxa"/>
            <w:vAlign w:val="center"/>
          </w:tcPr>
          <w:p>
            <w:pPr>
              <w:ind w:firstLine="360" w:firstLineChars="200"/>
              <w:rPr>
                <w:rFonts w:asciiTheme="minorEastAsia" w:hAnsiTheme="minorEastAsia"/>
                <w:sz w:val="18"/>
                <w:szCs w:val="18"/>
              </w:rPr>
            </w:pPr>
            <w:r>
              <w:rPr>
                <w:rFonts w:hint="eastAsia" w:asciiTheme="minorEastAsia" w:hAnsiTheme="minorEastAsia"/>
                <w:sz w:val="18"/>
                <w:szCs w:val="18"/>
              </w:rPr>
              <w:t>国家（含教育部）记4分，省（含教育厅）记3分，市（含市教育局）记2分，县（含县市区教育局）记1分；就高记1次，不累积计分。须提供党委、政府和教育行政部门文件和已验证证书。最多不超过4分。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768" w:type="dxa"/>
            <w:vAlign w:val="center"/>
          </w:tcPr>
          <w:p>
            <w:pPr>
              <w:jc w:val="center"/>
              <w:rPr>
                <w:rFonts w:asciiTheme="minorEastAsia" w:hAnsiTheme="minorEastAsia"/>
                <w:sz w:val="24"/>
                <w:szCs w:val="24"/>
              </w:rPr>
            </w:pPr>
            <w:r>
              <w:rPr>
                <w:rFonts w:hint="eastAsia" w:asciiTheme="minorEastAsia" w:hAnsiTheme="minorEastAsia"/>
                <w:sz w:val="24"/>
                <w:szCs w:val="24"/>
              </w:rPr>
              <w:t>任现职以来的工作业绩与工作效果</w:t>
            </w:r>
          </w:p>
        </w:tc>
        <w:tc>
          <w:tcPr>
            <w:tcW w:w="615" w:type="dxa"/>
            <w:vAlign w:val="center"/>
          </w:tcPr>
          <w:p>
            <w:pPr>
              <w:jc w:val="center"/>
              <w:rPr>
                <w:rFonts w:asciiTheme="minorEastAsia" w:hAnsiTheme="minorEastAsia"/>
                <w:sz w:val="18"/>
                <w:szCs w:val="18"/>
              </w:rPr>
            </w:pPr>
            <w:r>
              <w:rPr>
                <w:rFonts w:hint="eastAsia" w:asciiTheme="minorEastAsia" w:hAnsiTheme="minorEastAsia"/>
                <w:sz w:val="18"/>
                <w:szCs w:val="18"/>
              </w:rPr>
              <w:t>43.5分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（1）教育教学工作；（2）学术水平教研能力；（3）指导示范工作；（4）系统承担课程授课情况；（5）教学工作量和出勤情况；（6）教育教学效果；（7）教学改革成果；（8）指导学生实习、社会调查情况等</w:t>
            </w:r>
          </w:p>
        </w:tc>
        <w:tc>
          <w:tcPr>
            <w:tcW w:w="3306" w:type="dxa"/>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1）以近5年（申报高级）或近4年（申报中级）学校对参评对象个人年度目标考核量化为依据，取平均值，并按43.5%折算；（2）若单位对参评对象的年度工作业绩无量化或量化欠科学、欠公平可参照左栏项目(《2020年度衡阳市中小学教师职称评审工作方案》中的《量化评价标准》)重新量化,《量化方案》须经学校全体教职工大会或教职工代表大会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768" w:type="dxa"/>
            <w:vAlign w:val="center"/>
          </w:tcPr>
          <w:p>
            <w:pPr>
              <w:jc w:val="center"/>
              <w:rPr>
                <w:rFonts w:asciiTheme="minorEastAsia" w:hAnsiTheme="minorEastAsia"/>
                <w:sz w:val="24"/>
                <w:szCs w:val="24"/>
              </w:rPr>
            </w:pPr>
            <w:r>
              <w:rPr>
                <w:rFonts w:hint="eastAsia" w:asciiTheme="minorEastAsia" w:hAnsiTheme="minorEastAsia"/>
                <w:sz w:val="24"/>
                <w:szCs w:val="24"/>
              </w:rPr>
              <w:t>民意测评</w:t>
            </w: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3分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 xml:space="preserve">（1）同行（事）公认度测评（满意率）；          </w:t>
            </w:r>
          </w:p>
          <w:p>
            <w:pPr>
              <w:ind w:firstLine="480" w:firstLineChars="200"/>
              <w:rPr>
                <w:rFonts w:asciiTheme="minorEastAsia" w:hAnsiTheme="minorEastAsia"/>
                <w:sz w:val="24"/>
                <w:szCs w:val="24"/>
              </w:rPr>
            </w:pPr>
            <w:r>
              <w:rPr>
                <w:rFonts w:hint="eastAsia" w:asciiTheme="minorEastAsia" w:hAnsiTheme="minorEastAsia"/>
                <w:sz w:val="24"/>
                <w:szCs w:val="24"/>
              </w:rPr>
              <w:t>（2）学生（或小学学生家长）及家长问卷调查（满意率）。参加人数不能少于20人。</w:t>
            </w:r>
          </w:p>
        </w:tc>
        <w:tc>
          <w:tcPr>
            <w:tcW w:w="3306" w:type="dxa"/>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（1）同行公认度：1.5乘以满意率</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（2）学生及家长问卷调查：1.5乘以满意率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533"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768" w:type="dxa"/>
            <w:vAlign w:val="center"/>
          </w:tcPr>
          <w:p>
            <w:pPr>
              <w:jc w:val="center"/>
              <w:rPr>
                <w:rFonts w:asciiTheme="minorEastAsia" w:hAnsiTheme="minorEastAsia"/>
                <w:sz w:val="24"/>
                <w:szCs w:val="24"/>
              </w:rPr>
            </w:pPr>
            <w:r>
              <w:rPr>
                <w:rFonts w:hint="eastAsia" w:asciiTheme="minorEastAsia" w:hAnsiTheme="minorEastAsia"/>
                <w:sz w:val="24"/>
                <w:szCs w:val="24"/>
              </w:rPr>
              <w:t>教学能力测试（考核）</w:t>
            </w:r>
          </w:p>
        </w:tc>
        <w:tc>
          <w:tcPr>
            <w:tcW w:w="615" w:type="dxa"/>
            <w:vAlign w:val="center"/>
          </w:tcPr>
          <w:p>
            <w:pPr>
              <w:jc w:val="center"/>
              <w:rPr>
                <w:rFonts w:asciiTheme="minorEastAsia" w:hAnsiTheme="minorEastAsia"/>
                <w:sz w:val="18"/>
                <w:szCs w:val="18"/>
              </w:rPr>
            </w:pPr>
            <w:r>
              <w:rPr>
                <w:rFonts w:hint="eastAsia" w:asciiTheme="minorEastAsia" w:hAnsiTheme="minorEastAsia"/>
                <w:sz w:val="18"/>
                <w:szCs w:val="18"/>
              </w:rPr>
              <w:t>高级7.5分</w:t>
            </w:r>
          </w:p>
          <w:p>
            <w:pPr>
              <w:jc w:val="center"/>
              <w:rPr>
                <w:rFonts w:asciiTheme="minorEastAsia" w:hAnsiTheme="minorEastAsia"/>
                <w:sz w:val="18"/>
                <w:szCs w:val="18"/>
              </w:rPr>
            </w:pPr>
          </w:p>
          <w:p>
            <w:pPr>
              <w:jc w:val="center"/>
              <w:rPr>
                <w:rFonts w:asciiTheme="minorEastAsia" w:hAnsiTheme="minorEastAsia"/>
                <w:sz w:val="24"/>
                <w:szCs w:val="24"/>
              </w:rPr>
            </w:pPr>
            <w:r>
              <w:rPr>
                <w:rFonts w:hint="eastAsia" w:asciiTheme="minorEastAsia" w:hAnsiTheme="minorEastAsia"/>
                <w:sz w:val="18"/>
                <w:szCs w:val="18"/>
              </w:rPr>
              <w:t>中级10.5分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采取“推门听课”或“随机抽题说课”</w:t>
            </w:r>
            <w:r>
              <w:rPr>
                <w:rFonts w:asciiTheme="minorEastAsia" w:hAnsiTheme="minorEastAsia"/>
                <w:sz w:val="24"/>
                <w:szCs w:val="24"/>
              </w:rPr>
              <w:t xml:space="preserve"> </w:t>
            </w:r>
            <w:r>
              <w:rPr>
                <w:rFonts w:hint="eastAsia" w:asciiTheme="minorEastAsia" w:hAnsiTheme="minorEastAsia"/>
                <w:sz w:val="24"/>
                <w:szCs w:val="24"/>
              </w:rPr>
              <w:t>等多种评价方式相结合（上课或说课，形式由单位自行确定），按教研部门课堂教学的要求，由评委（不少于5名）按100分量化，取平均值</w:t>
            </w:r>
          </w:p>
        </w:tc>
        <w:tc>
          <w:tcPr>
            <w:tcW w:w="3306" w:type="dxa"/>
            <w:vAlign w:val="center"/>
          </w:tcPr>
          <w:p>
            <w:pPr>
              <w:rPr>
                <w:rFonts w:asciiTheme="minorEastAsia" w:hAnsiTheme="minorEastAsia"/>
                <w:sz w:val="24"/>
                <w:szCs w:val="24"/>
              </w:rPr>
            </w:pPr>
            <w:r>
              <w:rPr>
                <w:rFonts w:hint="eastAsia" w:asciiTheme="minorEastAsia" w:hAnsiTheme="minorEastAsia"/>
                <w:sz w:val="24"/>
                <w:szCs w:val="24"/>
              </w:rPr>
              <w:t>高级：按百分制得分乘以7.5%</w:t>
            </w:r>
          </w:p>
          <w:p>
            <w:pPr>
              <w:rPr>
                <w:rFonts w:asciiTheme="minorEastAsia" w:hAnsiTheme="minorEastAsia"/>
                <w:sz w:val="24"/>
                <w:szCs w:val="24"/>
              </w:rPr>
            </w:pPr>
            <w:r>
              <w:rPr>
                <w:rFonts w:hint="eastAsia" w:asciiTheme="minorEastAsia" w:hAnsiTheme="minorEastAsia"/>
                <w:sz w:val="24"/>
                <w:szCs w:val="24"/>
              </w:rPr>
              <w:t>中级：按百分制得分乘以10.5%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533"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768" w:type="dxa"/>
            <w:vAlign w:val="center"/>
          </w:tcPr>
          <w:p>
            <w:pPr>
              <w:jc w:val="center"/>
              <w:rPr>
                <w:rFonts w:asciiTheme="minorEastAsia" w:hAnsiTheme="minorEastAsia"/>
                <w:sz w:val="24"/>
                <w:szCs w:val="24"/>
              </w:rPr>
            </w:pPr>
            <w:r>
              <w:rPr>
                <w:rFonts w:hint="eastAsia" w:asciiTheme="minorEastAsia" w:hAnsiTheme="minorEastAsia"/>
                <w:sz w:val="24"/>
                <w:szCs w:val="24"/>
              </w:rPr>
              <w:t>业绩述职与面试答辩(申报中级不需要)</w:t>
            </w:r>
          </w:p>
        </w:tc>
        <w:tc>
          <w:tcPr>
            <w:tcW w:w="615" w:type="dxa"/>
            <w:vAlign w:val="center"/>
          </w:tcPr>
          <w:p>
            <w:pPr>
              <w:jc w:val="center"/>
              <w:rPr>
                <w:rFonts w:asciiTheme="minorEastAsia" w:hAnsiTheme="minorEastAsia"/>
                <w:sz w:val="24"/>
                <w:szCs w:val="24"/>
              </w:rPr>
            </w:pPr>
            <w:r>
              <w:rPr>
                <w:rFonts w:hint="eastAsia" w:asciiTheme="minorEastAsia" w:hAnsiTheme="minorEastAsia"/>
                <w:sz w:val="24"/>
                <w:szCs w:val="24"/>
              </w:rPr>
              <w:t>3分</w:t>
            </w:r>
          </w:p>
        </w:tc>
        <w:tc>
          <w:tcPr>
            <w:tcW w:w="3306"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学校考评组根据参评对象的述职报告和论文提若干问题，考评组成员根据其述职和答辩情况，按百分制记分，取平均值（本市教育局、人社局指导和监督）</w:t>
            </w:r>
          </w:p>
        </w:tc>
        <w:tc>
          <w:tcPr>
            <w:tcW w:w="3306" w:type="dxa"/>
            <w:vAlign w:val="center"/>
          </w:tcPr>
          <w:p>
            <w:pPr>
              <w:rPr>
                <w:rFonts w:asciiTheme="minorEastAsia" w:hAnsiTheme="minorEastAsia"/>
                <w:sz w:val="24"/>
                <w:szCs w:val="24"/>
              </w:rPr>
            </w:pPr>
            <w:r>
              <w:rPr>
                <w:rFonts w:hint="eastAsia" w:asciiTheme="minorEastAsia" w:hAnsiTheme="minorEastAsia"/>
                <w:sz w:val="24"/>
                <w:szCs w:val="24"/>
              </w:rPr>
              <w:t>按百分制得分乘以3%</w:t>
            </w:r>
          </w:p>
        </w:tc>
      </w:tr>
    </w:tbl>
    <w:p>
      <w:pPr>
        <w:spacing w:line="640" w:lineRule="exact"/>
        <w:ind w:firstLine="645"/>
        <w:rPr>
          <w:rFonts w:ascii="仿宋" w:hAnsi="仿宋" w:eastAsia="仿宋"/>
          <w:sz w:val="32"/>
          <w:szCs w:val="32"/>
        </w:rPr>
      </w:pPr>
    </w:p>
    <w:p>
      <w:pPr>
        <w:spacing w:line="640" w:lineRule="exact"/>
        <w:ind w:firstLine="645"/>
        <w:rPr>
          <w:rFonts w:ascii="仿宋" w:hAnsi="仿宋" w:eastAsia="仿宋"/>
          <w:sz w:val="32"/>
          <w:szCs w:val="32"/>
        </w:rPr>
      </w:pPr>
    </w:p>
    <w:p>
      <w:pPr>
        <w:spacing w:line="640" w:lineRule="exact"/>
        <w:ind w:firstLine="645"/>
        <w:rPr>
          <w:rFonts w:ascii="仿宋" w:hAnsi="仿宋" w:eastAsia="仿宋"/>
          <w:sz w:val="32"/>
          <w:szCs w:val="32"/>
        </w:rPr>
      </w:pPr>
    </w:p>
    <w:p>
      <w:pPr>
        <w:spacing w:line="640" w:lineRule="exact"/>
        <w:rPr>
          <w:rFonts w:ascii="仿宋" w:hAnsi="仿宋" w:eastAsia="仿宋"/>
          <w:sz w:val="32"/>
          <w:szCs w:val="32"/>
        </w:rPr>
      </w:pPr>
    </w:p>
    <w:p>
      <w:pPr>
        <w:spacing w:line="640" w:lineRule="exact"/>
        <w:ind w:firstLine="645"/>
        <w:rPr>
          <w:rFonts w:ascii="仿宋" w:hAnsi="仿宋" w:eastAsia="仿宋"/>
          <w:sz w:val="32"/>
          <w:szCs w:val="32"/>
        </w:rPr>
      </w:pPr>
      <w:r>
        <w:rPr>
          <w:rFonts w:hint="eastAsia" w:ascii="仿宋" w:hAnsi="仿宋" w:eastAsia="仿宋"/>
          <w:sz w:val="32"/>
          <w:szCs w:val="32"/>
        </w:rPr>
        <w:t>（2）考评（核）步骤：</w:t>
      </w:r>
    </w:p>
    <w:p>
      <w:pPr>
        <w:spacing w:line="640" w:lineRule="exact"/>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组织初核初评。各学校（单位）对所有申报中级职称对象进行以上第1项、2项、3项的量化；对所有申报高级职称对象进行以上第1项、2项、3项、4项的量化。</w:t>
      </w:r>
    </w:p>
    <w:p>
      <w:pPr>
        <w:spacing w:line="640" w:lineRule="exact"/>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确定对象学科。申报中级以第1项、2项、3项量化合计得分的排名为依据，确定参加第4项（教学能力测试）的入围对象、入围学科；申报高级以第1项、2项、3项、4项量化合计得分的排名为依据，确定参加第5项（业绩述职与面试答辩）的入围对象、入围学科。</w:t>
      </w:r>
    </w:p>
    <w:p>
      <w:pPr>
        <w:spacing w:line="640" w:lineRule="exact"/>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组织差额量化。各学校按“对岗申报”原则，申报中级在符合本岗位（学科）申报条件的人员中，原则上按1：2比例进行第4项（教学能力测试）量化；申报高级在符合本岗位（学科）申报条件的人员中，原则上按1：2比例进行第5项（业绩述职与面试答辩）量化。</w:t>
      </w:r>
    </w:p>
    <w:p>
      <w:pPr>
        <w:spacing w:line="640" w:lineRule="exact"/>
        <w:ind w:firstLine="645"/>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确定推荐人员。申报中级以第１项、２项、３项、４项量化综合得分的排名（分学科）为依据，确定各学校拟推荐申报中级职称人员（１：１推荐）；申报高级以第１项、２项、３项、４项、５项量化综合得分的排名（分学科）为依据，确定各学校拟推荐申报高级职称人员（１：１推荐）。</w:t>
      </w:r>
    </w:p>
    <w:p>
      <w:pPr>
        <w:spacing w:line="640" w:lineRule="exact"/>
        <w:ind w:firstLine="645"/>
        <w:rPr>
          <w:rFonts w:ascii="仿宋" w:hAnsi="仿宋" w:eastAsia="仿宋"/>
          <w:sz w:val="32"/>
          <w:szCs w:val="32"/>
        </w:rPr>
      </w:pPr>
      <w:r>
        <w:rPr>
          <w:rFonts w:hint="eastAsia" w:ascii="仿宋" w:hAnsi="仿宋" w:eastAsia="仿宋"/>
          <w:sz w:val="32"/>
          <w:szCs w:val="32"/>
        </w:rPr>
        <w:t>（特殊教育学校、教研机构及校外教育机构、中等职业学校可参照此方法和上级相关文件，制定本单位的《量化方案》，须经学校全体教职工大会或教职工代表大会通过。）</w:t>
      </w:r>
    </w:p>
    <w:p>
      <w:pPr>
        <w:spacing w:line="500" w:lineRule="exact"/>
        <w:ind w:firstLine="630" w:firstLineChars="196"/>
        <w:rPr>
          <w:rFonts w:ascii="楷体" w:hAnsi="楷体" w:eastAsia="楷体" w:cs="Times New Roman"/>
          <w:b/>
          <w:sz w:val="32"/>
          <w:szCs w:val="32"/>
        </w:rPr>
      </w:pPr>
      <w:r>
        <w:rPr>
          <w:rFonts w:hint="eastAsia" w:ascii="楷体" w:hAnsi="楷体" w:eastAsia="楷体"/>
          <w:b/>
          <w:sz w:val="32"/>
          <w:szCs w:val="32"/>
        </w:rPr>
        <w:t>六、</w:t>
      </w:r>
      <w:r>
        <w:rPr>
          <w:rFonts w:hint="eastAsia" w:ascii="楷体" w:hAnsi="楷体" w:eastAsia="楷体" w:cs="Times New Roman"/>
          <w:b/>
          <w:sz w:val="32"/>
          <w:szCs w:val="32"/>
        </w:rPr>
        <w:t>申报对象凡有衡阳市教师职称评审文件中的“一票否决”情况之一，按政策规定执行。</w:t>
      </w:r>
    </w:p>
    <w:p>
      <w:pPr>
        <w:spacing w:line="640" w:lineRule="exact"/>
        <w:ind w:firstLine="630" w:firstLineChars="196"/>
        <w:rPr>
          <w:rFonts w:ascii="楷体" w:hAnsi="楷体" w:eastAsia="楷体"/>
          <w:b/>
          <w:sz w:val="32"/>
          <w:szCs w:val="32"/>
        </w:rPr>
      </w:pPr>
      <w:r>
        <w:rPr>
          <w:rFonts w:hint="eastAsia" w:ascii="楷体" w:hAnsi="楷体" w:eastAsia="楷体"/>
          <w:b/>
          <w:sz w:val="32"/>
          <w:szCs w:val="32"/>
        </w:rPr>
        <w:t>七、工作要求</w:t>
      </w:r>
    </w:p>
    <w:p>
      <w:pPr>
        <w:spacing w:line="640" w:lineRule="exact"/>
        <w:ind w:firstLine="645"/>
        <w:rPr>
          <w:rFonts w:ascii="仿宋" w:hAnsi="仿宋" w:eastAsia="仿宋"/>
          <w:sz w:val="32"/>
          <w:szCs w:val="32"/>
        </w:rPr>
      </w:pPr>
      <w:r>
        <w:rPr>
          <w:rFonts w:hint="eastAsia" w:ascii="仿宋" w:hAnsi="仿宋" w:eastAsia="仿宋"/>
          <w:sz w:val="32"/>
          <w:szCs w:val="32"/>
        </w:rPr>
        <w:t>1、加强组织领导。各学校要成立由一把手任组长、教师代表、同行专家、单位领导共同组成的考评小组（教师代表占70%以上），考评小组人数原则上不少于7人，做好本校教师职称考评推荐工作。</w:t>
      </w:r>
    </w:p>
    <w:p>
      <w:pPr>
        <w:spacing w:line="640" w:lineRule="exact"/>
        <w:ind w:firstLine="645"/>
        <w:rPr>
          <w:rFonts w:ascii="仿宋" w:hAnsi="仿宋" w:eastAsia="仿宋"/>
          <w:sz w:val="32"/>
          <w:szCs w:val="32"/>
        </w:rPr>
      </w:pPr>
      <w:r>
        <w:rPr>
          <w:rFonts w:hint="eastAsia" w:ascii="仿宋" w:hAnsi="仿宋" w:eastAsia="仿宋"/>
          <w:sz w:val="32"/>
          <w:szCs w:val="32"/>
        </w:rPr>
        <w:t>2、坚持公正、公平和公开。严密组织，精心安排，努力增加工作透明度，自觉接受纪委、监察、工会等组织和群众的监督。严格把握标准，完善推荐程序，实事求是，坚持职称申报公示制度，确保推荐评审质量和公信度。在上级规定的考评细则基础上，学校可根据本校实际制订量化方案，本校量化方案应坚持以绩效为中心的正确导向，需经全体教职工大会或教职工代表大会通过。</w:t>
      </w:r>
    </w:p>
    <w:p>
      <w:pPr>
        <w:spacing w:line="640" w:lineRule="exact"/>
        <w:ind w:firstLine="645"/>
        <w:rPr>
          <w:rFonts w:ascii="仿宋" w:hAnsi="仿宋" w:eastAsia="仿宋"/>
          <w:sz w:val="32"/>
          <w:szCs w:val="32"/>
        </w:rPr>
      </w:pPr>
      <w:r>
        <w:rPr>
          <w:rFonts w:hint="eastAsia" w:ascii="仿宋" w:hAnsi="仿宋" w:eastAsia="仿宋"/>
          <w:sz w:val="32"/>
          <w:szCs w:val="32"/>
        </w:rPr>
        <w:t>3、实行评审推荐责任制和责任追究制。教师职称推荐、评聘工作是一项政策性很强的工作，涉及面广，社会影响大，关系到广大教师的切身利益。各学校要高度重视，深入细致地做好政策宣传解读,严格实行责任制和责任追究制。对在评审推荐中弄虚作假、违规操作造成不良影响的，将严肃追究相关责任人的责任。</w:t>
      </w:r>
    </w:p>
    <w:p>
      <w:pPr>
        <w:spacing w:line="640" w:lineRule="exact"/>
        <w:rPr>
          <w:rFonts w:ascii="仿宋" w:hAnsi="仿宋" w:eastAsia="仿宋"/>
          <w:sz w:val="32"/>
          <w:szCs w:val="32"/>
        </w:rPr>
      </w:pPr>
    </w:p>
    <w:p>
      <w:pPr>
        <w:spacing w:line="640" w:lineRule="exact"/>
        <w:rPr>
          <w:rFonts w:ascii="仿宋" w:hAnsi="仿宋" w:eastAsia="仿宋"/>
          <w:sz w:val="32"/>
          <w:szCs w:val="32"/>
        </w:rPr>
      </w:pPr>
      <w:r>
        <w:rPr>
          <w:rFonts w:hint="eastAsia" w:ascii="仿宋" w:hAnsi="仿宋" w:eastAsia="仿宋"/>
          <w:sz w:val="32"/>
          <w:szCs w:val="32"/>
        </w:rPr>
        <w:t>附件：</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1、常宁市教师系列拟申报高级教师职称人员量化考核推荐情况花名册</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2、常宁市教师系列拟申报一级教师职称人员量化考核推荐情况花名册</w:t>
      </w:r>
    </w:p>
    <w:p>
      <w:pPr>
        <w:spacing w:line="640" w:lineRule="exact"/>
        <w:rPr>
          <w:rFonts w:ascii="仿宋" w:hAnsi="仿宋" w:eastAsia="仿宋"/>
          <w:sz w:val="32"/>
          <w:szCs w:val="32"/>
        </w:rPr>
      </w:pPr>
    </w:p>
    <w:p>
      <w:pPr>
        <w:spacing w:line="640" w:lineRule="exact"/>
        <w:ind w:firstLine="320" w:firstLineChars="100"/>
        <w:rPr>
          <w:rFonts w:ascii="仿宋" w:hAnsi="仿宋" w:eastAsia="仿宋"/>
          <w:sz w:val="32"/>
          <w:szCs w:val="32"/>
        </w:rPr>
      </w:pPr>
      <w:r>
        <w:rPr>
          <w:rFonts w:hint="eastAsia" w:ascii="仿宋" w:hAnsi="仿宋" w:eastAsia="仿宋"/>
          <w:sz w:val="32"/>
          <w:szCs w:val="32"/>
        </w:rPr>
        <w:t>常宁市教育局          常宁市人力资源和社会保障局</w:t>
      </w:r>
    </w:p>
    <w:p>
      <w:pPr>
        <w:spacing w:line="640" w:lineRule="exact"/>
        <w:ind w:firstLine="645"/>
        <w:rPr>
          <w:rFonts w:ascii="仿宋" w:hAnsi="仿宋" w:eastAsia="仿宋"/>
          <w:sz w:val="32"/>
          <w:szCs w:val="32"/>
        </w:rPr>
      </w:pPr>
      <w:r>
        <w:rPr>
          <w:rFonts w:hint="eastAsia" w:ascii="仿宋" w:hAnsi="仿宋" w:eastAsia="仿宋"/>
          <w:sz w:val="32"/>
          <w:szCs w:val="32"/>
        </w:rPr>
        <w:t xml:space="preserve">                        2020年11月10日</w:t>
      </w:r>
    </w:p>
    <w:p>
      <w:pPr>
        <w:spacing w:line="640" w:lineRule="exact"/>
        <w:ind w:firstLine="645"/>
        <w:rPr>
          <w:rFonts w:ascii="仿宋" w:hAnsi="仿宋" w:eastAsia="仿宋"/>
          <w:sz w:val="32"/>
          <w:szCs w:val="32"/>
        </w:rPr>
      </w:pPr>
    </w:p>
    <w:p>
      <w:pPr>
        <w:spacing w:line="640" w:lineRule="exact"/>
        <w:ind w:firstLine="645"/>
        <w:rPr>
          <w:rFonts w:ascii="仿宋" w:hAnsi="仿宋" w:eastAsia="仿宋"/>
          <w:sz w:val="32"/>
          <w:szCs w:val="32"/>
        </w:rPr>
      </w:pPr>
    </w:p>
    <w:p>
      <w:pPr>
        <w:spacing w:line="640" w:lineRule="exact"/>
        <w:rPr>
          <w:rFonts w:ascii="仿宋" w:hAnsi="仿宋" w:eastAsia="仿宋"/>
          <w:sz w:val="32"/>
          <w:szCs w:val="32"/>
        </w:rPr>
        <w:sectPr>
          <w:footerReference r:id="rId3" w:type="default"/>
          <w:pgSz w:w="11906" w:h="16838"/>
          <w:pgMar w:top="1440" w:right="1797" w:bottom="1440" w:left="1797" w:header="851" w:footer="992" w:gutter="0"/>
          <w:cols w:space="425" w:num="1"/>
          <w:docGrid w:linePitch="348" w:charSpace="0"/>
        </w:sectPr>
      </w:pPr>
    </w:p>
    <w:tbl>
      <w:tblPr>
        <w:tblStyle w:val="7"/>
        <w:tblW w:w="14713" w:type="dxa"/>
        <w:tblInd w:w="-318" w:type="dxa"/>
        <w:tblLayout w:type="fixed"/>
        <w:tblCellMar>
          <w:top w:w="15" w:type="dxa"/>
          <w:left w:w="108" w:type="dxa"/>
          <w:bottom w:w="15" w:type="dxa"/>
          <w:right w:w="108" w:type="dxa"/>
        </w:tblCellMar>
      </w:tblPr>
      <w:tblGrid>
        <w:gridCol w:w="448"/>
        <w:gridCol w:w="699"/>
        <w:gridCol w:w="422"/>
        <w:gridCol w:w="1439"/>
        <w:gridCol w:w="859"/>
        <w:gridCol w:w="670"/>
        <w:gridCol w:w="768"/>
        <w:gridCol w:w="1145"/>
        <w:gridCol w:w="860"/>
        <w:gridCol w:w="1005"/>
        <w:gridCol w:w="1143"/>
        <w:gridCol w:w="859"/>
        <w:gridCol w:w="945"/>
        <w:gridCol w:w="646"/>
        <w:gridCol w:w="679"/>
        <w:gridCol w:w="907"/>
        <w:gridCol w:w="727"/>
        <w:gridCol w:w="492"/>
      </w:tblGrid>
      <w:tr>
        <w:tblPrEx>
          <w:tblCellMar>
            <w:top w:w="15" w:type="dxa"/>
            <w:left w:w="108" w:type="dxa"/>
            <w:bottom w:w="15" w:type="dxa"/>
            <w:right w:w="108" w:type="dxa"/>
          </w:tblCellMar>
        </w:tblPrEx>
        <w:trPr>
          <w:trHeight w:val="182" w:hRule="atLeast"/>
        </w:trPr>
        <w:tc>
          <w:tcPr>
            <w:tcW w:w="1147" w:type="dxa"/>
            <w:gridSpan w:val="2"/>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附件1</w:t>
            </w:r>
          </w:p>
        </w:tc>
        <w:tc>
          <w:tcPr>
            <w:tcW w:w="422" w:type="dxa"/>
            <w:vAlign w:val="center"/>
          </w:tcPr>
          <w:p>
            <w:pPr>
              <w:widowControl/>
              <w:jc w:val="left"/>
              <w:rPr>
                <w:rFonts w:ascii="宋体" w:hAnsi="宋体" w:eastAsia="宋体" w:cs="宋体"/>
                <w:color w:val="000000"/>
                <w:kern w:val="0"/>
                <w:sz w:val="24"/>
                <w:szCs w:val="24"/>
              </w:rPr>
            </w:pPr>
          </w:p>
        </w:tc>
        <w:tc>
          <w:tcPr>
            <w:tcW w:w="1439" w:type="dxa"/>
            <w:vAlign w:val="center"/>
          </w:tcPr>
          <w:p>
            <w:pPr>
              <w:widowControl/>
              <w:jc w:val="left"/>
              <w:rPr>
                <w:rFonts w:ascii="宋体" w:hAnsi="宋体" w:eastAsia="宋体" w:cs="宋体"/>
                <w:color w:val="000000"/>
                <w:kern w:val="0"/>
                <w:sz w:val="24"/>
                <w:szCs w:val="24"/>
              </w:rPr>
            </w:pPr>
          </w:p>
        </w:tc>
        <w:tc>
          <w:tcPr>
            <w:tcW w:w="859" w:type="dxa"/>
            <w:vAlign w:val="center"/>
          </w:tcPr>
          <w:p>
            <w:pPr>
              <w:widowControl/>
              <w:jc w:val="left"/>
              <w:rPr>
                <w:rFonts w:ascii="宋体" w:hAnsi="宋体" w:eastAsia="宋体" w:cs="宋体"/>
                <w:color w:val="000000"/>
                <w:kern w:val="0"/>
                <w:sz w:val="24"/>
                <w:szCs w:val="24"/>
              </w:rPr>
            </w:pPr>
          </w:p>
        </w:tc>
        <w:tc>
          <w:tcPr>
            <w:tcW w:w="670" w:type="dxa"/>
            <w:vAlign w:val="center"/>
          </w:tcPr>
          <w:p>
            <w:pPr>
              <w:widowControl/>
              <w:jc w:val="left"/>
              <w:rPr>
                <w:rFonts w:ascii="宋体" w:hAnsi="宋体" w:eastAsia="宋体" w:cs="宋体"/>
                <w:color w:val="000000"/>
                <w:kern w:val="0"/>
                <w:sz w:val="24"/>
                <w:szCs w:val="24"/>
              </w:rPr>
            </w:pPr>
          </w:p>
        </w:tc>
        <w:tc>
          <w:tcPr>
            <w:tcW w:w="768" w:type="dxa"/>
            <w:vAlign w:val="center"/>
          </w:tcPr>
          <w:p>
            <w:pPr>
              <w:widowControl/>
              <w:jc w:val="left"/>
              <w:rPr>
                <w:rFonts w:ascii="宋体" w:hAnsi="宋体" w:eastAsia="宋体" w:cs="宋体"/>
                <w:color w:val="000000"/>
                <w:kern w:val="0"/>
                <w:sz w:val="24"/>
                <w:szCs w:val="24"/>
              </w:rPr>
            </w:pPr>
          </w:p>
        </w:tc>
        <w:tc>
          <w:tcPr>
            <w:tcW w:w="1145" w:type="dxa"/>
            <w:vAlign w:val="center"/>
          </w:tcPr>
          <w:p>
            <w:pPr>
              <w:widowControl/>
              <w:jc w:val="left"/>
              <w:rPr>
                <w:rFonts w:ascii="宋体" w:hAnsi="宋体" w:eastAsia="宋体" w:cs="宋体"/>
                <w:color w:val="000000"/>
                <w:kern w:val="0"/>
                <w:sz w:val="24"/>
                <w:szCs w:val="24"/>
              </w:rPr>
            </w:pPr>
          </w:p>
        </w:tc>
        <w:tc>
          <w:tcPr>
            <w:tcW w:w="860" w:type="dxa"/>
            <w:vAlign w:val="center"/>
          </w:tcPr>
          <w:p>
            <w:pPr>
              <w:widowControl/>
              <w:jc w:val="left"/>
              <w:rPr>
                <w:rFonts w:ascii="宋体" w:hAnsi="宋体" w:eastAsia="宋体" w:cs="宋体"/>
                <w:color w:val="000000"/>
                <w:kern w:val="0"/>
                <w:sz w:val="24"/>
                <w:szCs w:val="24"/>
              </w:rPr>
            </w:pPr>
          </w:p>
        </w:tc>
        <w:tc>
          <w:tcPr>
            <w:tcW w:w="1005" w:type="dxa"/>
            <w:vAlign w:val="center"/>
          </w:tcPr>
          <w:p>
            <w:pPr>
              <w:widowControl/>
              <w:jc w:val="left"/>
              <w:rPr>
                <w:rFonts w:ascii="宋体" w:hAnsi="宋体" w:eastAsia="宋体" w:cs="宋体"/>
                <w:color w:val="000000"/>
                <w:kern w:val="0"/>
                <w:sz w:val="24"/>
                <w:szCs w:val="24"/>
              </w:rPr>
            </w:pPr>
          </w:p>
        </w:tc>
        <w:tc>
          <w:tcPr>
            <w:tcW w:w="1143" w:type="dxa"/>
            <w:vAlign w:val="center"/>
          </w:tcPr>
          <w:p>
            <w:pPr>
              <w:widowControl/>
              <w:jc w:val="left"/>
              <w:rPr>
                <w:rFonts w:ascii="宋体" w:hAnsi="宋体" w:eastAsia="宋体" w:cs="宋体"/>
                <w:color w:val="000000"/>
                <w:kern w:val="0"/>
                <w:sz w:val="24"/>
                <w:szCs w:val="24"/>
              </w:rPr>
            </w:pPr>
          </w:p>
        </w:tc>
        <w:tc>
          <w:tcPr>
            <w:tcW w:w="859" w:type="dxa"/>
            <w:vAlign w:val="center"/>
          </w:tcPr>
          <w:p>
            <w:pPr>
              <w:widowControl/>
              <w:jc w:val="left"/>
              <w:rPr>
                <w:rFonts w:ascii="宋体" w:hAnsi="宋体" w:eastAsia="宋体" w:cs="宋体"/>
                <w:color w:val="000000"/>
                <w:kern w:val="0"/>
                <w:sz w:val="24"/>
                <w:szCs w:val="24"/>
              </w:rPr>
            </w:pPr>
          </w:p>
        </w:tc>
        <w:tc>
          <w:tcPr>
            <w:tcW w:w="945" w:type="dxa"/>
            <w:vAlign w:val="center"/>
          </w:tcPr>
          <w:p>
            <w:pPr>
              <w:widowControl/>
              <w:jc w:val="left"/>
              <w:rPr>
                <w:rFonts w:ascii="宋体" w:hAnsi="宋体" w:eastAsia="宋体" w:cs="宋体"/>
                <w:color w:val="000000"/>
                <w:kern w:val="0"/>
                <w:sz w:val="24"/>
                <w:szCs w:val="24"/>
              </w:rPr>
            </w:pPr>
          </w:p>
        </w:tc>
        <w:tc>
          <w:tcPr>
            <w:tcW w:w="646" w:type="dxa"/>
            <w:vAlign w:val="center"/>
          </w:tcPr>
          <w:p>
            <w:pPr>
              <w:widowControl/>
              <w:jc w:val="left"/>
              <w:rPr>
                <w:rFonts w:ascii="宋体" w:hAnsi="宋体" w:eastAsia="宋体" w:cs="宋体"/>
                <w:color w:val="000000"/>
                <w:kern w:val="0"/>
                <w:sz w:val="24"/>
                <w:szCs w:val="24"/>
              </w:rPr>
            </w:pPr>
          </w:p>
        </w:tc>
        <w:tc>
          <w:tcPr>
            <w:tcW w:w="679" w:type="dxa"/>
            <w:vAlign w:val="center"/>
          </w:tcPr>
          <w:p>
            <w:pPr>
              <w:widowControl/>
              <w:jc w:val="left"/>
              <w:rPr>
                <w:rFonts w:ascii="宋体" w:hAnsi="宋体" w:eastAsia="宋体" w:cs="宋体"/>
                <w:color w:val="000000"/>
                <w:kern w:val="0"/>
                <w:sz w:val="24"/>
                <w:szCs w:val="24"/>
              </w:rPr>
            </w:pPr>
          </w:p>
        </w:tc>
        <w:tc>
          <w:tcPr>
            <w:tcW w:w="907" w:type="dxa"/>
            <w:vAlign w:val="center"/>
          </w:tcPr>
          <w:p>
            <w:pPr>
              <w:widowControl/>
              <w:jc w:val="left"/>
              <w:rPr>
                <w:rFonts w:ascii="宋体" w:hAnsi="宋体" w:eastAsia="宋体" w:cs="宋体"/>
                <w:color w:val="000000"/>
                <w:kern w:val="0"/>
                <w:sz w:val="24"/>
                <w:szCs w:val="24"/>
              </w:rPr>
            </w:pPr>
          </w:p>
        </w:tc>
        <w:tc>
          <w:tcPr>
            <w:tcW w:w="727" w:type="dxa"/>
            <w:vAlign w:val="center"/>
          </w:tcPr>
          <w:p>
            <w:pPr>
              <w:widowControl/>
              <w:jc w:val="left"/>
              <w:rPr>
                <w:rFonts w:ascii="宋体" w:hAnsi="宋体" w:eastAsia="宋体" w:cs="宋体"/>
                <w:color w:val="000000"/>
                <w:kern w:val="0"/>
                <w:sz w:val="24"/>
                <w:szCs w:val="24"/>
              </w:rPr>
            </w:pPr>
          </w:p>
        </w:tc>
        <w:tc>
          <w:tcPr>
            <w:tcW w:w="492" w:type="dxa"/>
            <w:vAlign w:val="center"/>
          </w:tcPr>
          <w:p>
            <w:pPr>
              <w:widowControl/>
              <w:jc w:val="left"/>
              <w:rPr>
                <w:rFonts w:ascii="宋体" w:hAnsi="宋体" w:eastAsia="宋体" w:cs="宋体"/>
                <w:color w:val="000000"/>
                <w:kern w:val="0"/>
                <w:sz w:val="24"/>
                <w:szCs w:val="24"/>
              </w:rPr>
            </w:pPr>
          </w:p>
        </w:tc>
      </w:tr>
      <w:tr>
        <w:tblPrEx>
          <w:tblCellMar>
            <w:top w:w="15" w:type="dxa"/>
            <w:left w:w="108" w:type="dxa"/>
            <w:bottom w:w="15" w:type="dxa"/>
            <w:right w:w="108" w:type="dxa"/>
          </w:tblCellMar>
        </w:tblPrEx>
        <w:trPr>
          <w:trHeight w:val="346" w:hRule="atLeast"/>
        </w:trPr>
        <w:tc>
          <w:tcPr>
            <w:tcW w:w="14713" w:type="dxa"/>
            <w:gridSpan w:val="18"/>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常宁市教师系列拟申报高级教师职称人员量化考核推荐情况花名册</w:t>
            </w:r>
          </w:p>
        </w:tc>
      </w:tr>
      <w:tr>
        <w:tblPrEx>
          <w:tblCellMar>
            <w:top w:w="15" w:type="dxa"/>
            <w:left w:w="108" w:type="dxa"/>
            <w:bottom w:w="15" w:type="dxa"/>
            <w:right w:w="108" w:type="dxa"/>
          </w:tblCellMar>
        </w:tblPrEx>
        <w:trPr>
          <w:trHeight w:val="346" w:hRule="atLeast"/>
        </w:trPr>
        <w:tc>
          <w:tcPr>
            <w:tcW w:w="14713" w:type="dxa"/>
            <w:gridSpan w:val="18"/>
            <w:vAlign w:val="center"/>
          </w:tcPr>
          <w:p>
            <w:pPr>
              <w:widowControl/>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单位（盖章）：</w:t>
            </w:r>
          </w:p>
        </w:tc>
      </w:tr>
      <w:tr>
        <w:tblPrEx>
          <w:tblCellMar>
            <w:top w:w="15" w:type="dxa"/>
            <w:left w:w="108" w:type="dxa"/>
            <w:bottom w:w="15" w:type="dxa"/>
            <w:right w:w="108" w:type="dxa"/>
          </w:tblCellMar>
        </w:tblPrEx>
        <w:trPr>
          <w:trHeight w:val="906" w:hRule="atLeast"/>
        </w:trPr>
        <w:tc>
          <w:tcPr>
            <w:tcW w:w="448"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699"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姓名</w:t>
            </w:r>
          </w:p>
        </w:tc>
        <w:tc>
          <w:tcPr>
            <w:tcW w:w="422"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性别</w:t>
            </w:r>
          </w:p>
        </w:tc>
        <w:tc>
          <w:tcPr>
            <w:tcW w:w="1439"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身份证号码</w:t>
            </w:r>
          </w:p>
        </w:tc>
        <w:tc>
          <w:tcPr>
            <w:tcW w:w="859"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参加教育工作时间</w:t>
            </w:r>
          </w:p>
        </w:tc>
        <w:tc>
          <w:tcPr>
            <w:tcW w:w="670"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学历</w:t>
            </w:r>
          </w:p>
        </w:tc>
        <w:tc>
          <w:tcPr>
            <w:tcW w:w="768"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申报学科</w:t>
            </w:r>
          </w:p>
        </w:tc>
        <w:tc>
          <w:tcPr>
            <w:tcW w:w="1145"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已获专</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业技术</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职务资格及时间</w:t>
            </w:r>
          </w:p>
        </w:tc>
        <w:tc>
          <w:tcPr>
            <w:tcW w:w="860"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拟申报专业技术职务资格</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基本条件与综合荣誉材料、继教、班主任等</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18"/>
                <w:szCs w:val="18"/>
              </w:rPr>
              <w:t>（43分</w:t>
            </w:r>
            <w:r>
              <w:rPr>
                <w:rFonts w:ascii="宋体" w:hAnsi="宋体" w:eastAsia="宋体" w:cs="宋体"/>
                <w:color w:val="000000"/>
                <w:kern w:val="0"/>
                <w:sz w:val="18"/>
                <w:szCs w:val="18"/>
              </w:rPr>
              <w:t>）</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任现职以来的工作业绩与工作效果（43.5分）</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民意</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测评</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(3分)</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教学能力测试(7.5</w:t>
            </w:r>
            <w:r>
              <w:rPr>
                <w:rFonts w:ascii="宋体" w:hAnsi="宋体" w:eastAsia="宋体" w:cs="宋体"/>
                <w:color w:val="000000"/>
                <w:kern w:val="0"/>
                <w:sz w:val="20"/>
              </w:rPr>
              <w:t>分</w:t>
            </w:r>
            <w:r>
              <w:rPr>
                <w:rFonts w:hint="eastAsia" w:ascii="宋体" w:hAnsi="宋体" w:eastAsia="宋体" w:cs="宋体"/>
                <w:color w:val="000000"/>
                <w:kern w:val="0"/>
                <w:sz w:val="20"/>
              </w:rPr>
              <w:t>)</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排名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业绩述职与面试答辩(3</w:t>
            </w:r>
            <w:r>
              <w:rPr>
                <w:rFonts w:ascii="宋体" w:hAnsi="宋体" w:eastAsia="宋体" w:cs="宋体"/>
                <w:color w:val="000000"/>
                <w:kern w:val="0"/>
                <w:sz w:val="20"/>
              </w:rPr>
              <w:t>分</w:t>
            </w:r>
            <w:r>
              <w:rPr>
                <w:rFonts w:hint="eastAsia" w:ascii="宋体" w:hAnsi="宋体" w:eastAsia="宋体" w:cs="宋体"/>
                <w:color w:val="000000"/>
                <w:kern w:val="0"/>
                <w:sz w:val="20"/>
              </w:rPr>
              <w:t>)</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综合得分</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排名</w:t>
            </w: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72"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bl>
    <w:p/>
    <w:tbl>
      <w:tblPr>
        <w:tblStyle w:val="7"/>
        <w:tblW w:w="14615" w:type="dxa"/>
        <w:tblInd w:w="-318" w:type="dxa"/>
        <w:tblLayout w:type="autofit"/>
        <w:tblCellMar>
          <w:top w:w="15" w:type="dxa"/>
          <w:left w:w="108" w:type="dxa"/>
          <w:bottom w:w="15" w:type="dxa"/>
          <w:right w:w="108" w:type="dxa"/>
        </w:tblCellMar>
      </w:tblPr>
      <w:tblGrid>
        <w:gridCol w:w="663"/>
        <w:gridCol w:w="897"/>
        <w:gridCol w:w="416"/>
        <w:gridCol w:w="1777"/>
        <w:gridCol w:w="718"/>
        <w:gridCol w:w="685"/>
        <w:gridCol w:w="669"/>
        <w:gridCol w:w="1062"/>
        <w:gridCol w:w="855"/>
        <w:gridCol w:w="973"/>
        <w:gridCol w:w="1183"/>
        <w:gridCol w:w="747"/>
        <w:gridCol w:w="645"/>
        <w:gridCol w:w="708"/>
        <w:gridCol w:w="890"/>
        <w:gridCol w:w="1008"/>
        <w:gridCol w:w="719"/>
      </w:tblGrid>
      <w:tr>
        <w:tblPrEx>
          <w:tblCellMar>
            <w:top w:w="15" w:type="dxa"/>
            <w:left w:w="108" w:type="dxa"/>
            <w:bottom w:w="15" w:type="dxa"/>
            <w:right w:w="108" w:type="dxa"/>
          </w:tblCellMar>
        </w:tblPrEx>
        <w:trPr>
          <w:trHeight w:val="166" w:hRule="atLeast"/>
        </w:trPr>
        <w:tc>
          <w:tcPr>
            <w:tcW w:w="1560" w:type="dxa"/>
            <w:gridSpan w:val="2"/>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附件2</w:t>
            </w:r>
          </w:p>
        </w:tc>
        <w:tc>
          <w:tcPr>
            <w:tcW w:w="416" w:type="dxa"/>
            <w:vAlign w:val="center"/>
          </w:tcPr>
          <w:p>
            <w:pPr>
              <w:widowControl/>
              <w:jc w:val="left"/>
              <w:rPr>
                <w:rFonts w:ascii="宋体" w:hAnsi="宋体" w:eastAsia="宋体" w:cs="宋体"/>
                <w:color w:val="000000"/>
                <w:kern w:val="0"/>
                <w:sz w:val="24"/>
                <w:szCs w:val="24"/>
              </w:rPr>
            </w:pPr>
          </w:p>
        </w:tc>
        <w:tc>
          <w:tcPr>
            <w:tcW w:w="1777" w:type="dxa"/>
            <w:vAlign w:val="center"/>
          </w:tcPr>
          <w:p>
            <w:pPr>
              <w:widowControl/>
              <w:jc w:val="left"/>
              <w:rPr>
                <w:rFonts w:ascii="宋体" w:hAnsi="宋体" w:eastAsia="宋体" w:cs="宋体"/>
                <w:color w:val="000000"/>
                <w:kern w:val="0"/>
                <w:sz w:val="24"/>
                <w:szCs w:val="24"/>
              </w:rPr>
            </w:pPr>
          </w:p>
        </w:tc>
        <w:tc>
          <w:tcPr>
            <w:tcW w:w="718" w:type="dxa"/>
            <w:vAlign w:val="center"/>
          </w:tcPr>
          <w:p>
            <w:pPr>
              <w:widowControl/>
              <w:jc w:val="left"/>
              <w:rPr>
                <w:rFonts w:ascii="宋体" w:hAnsi="宋体" w:eastAsia="宋体" w:cs="宋体"/>
                <w:color w:val="000000"/>
                <w:kern w:val="0"/>
                <w:sz w:val="24"/>
                <w:szCs w:val="24"/>
              </w:rPr>
            </w:pPr>
          </w:p>
        </w:tc>
        <w:tc>
          <w:tcPr>
            <w:tcW w:w="685" w:type="dxa"/>
            <w:vAlign w:val="center"/>
          </w:tcPr>
          <w:p>
            <w:pPr>
              <w:widowControl/>
              <w:jc w:val="left"/>
              <w:rPr>
                <w:rFonts w:ascii="宋体" w:hAnsi="宋体" w:eastAsia="宋体" w:cs="宋体"/>
                <w:color w:val="000000"/>
                <w:kern w:val="0"/>
                <w:sz w:val="24"/>
                <w:szCs w:val="24"/>
              </w:rPr>
            </w:pPr>
          </w:p>
        </w:tc>
        <w:tc>
          <w:tcPr>
            <w:tcW w:w="669" w:type="dxa"/>
            <w:vAlign w:val="center"/>
          </w:tcPr>
          <w:p>
            <w:pPr>
              <w:widowControl/>
              <w:jc w:val="left"/>
              <w:rPr>
                <w:rFonts w:ascii="宋体" w:hAnsi="宋体" w:eastAsia="宋体" w:cs="宋体"/>
                <w:color w:val="000000"/>
                <w:kern w:val="0"/>
                <w:sz w:val="24"/>
                <w:szCs w:val="24"/>
              </w:rPr>
            </w:pPr>
          </w:p>
        </w:tc>
        <w:tc>
          <w:tcPr>
            <w:tcW w:w="1062" w:type="dxa"/>
            <w:vAlign w:val="center"/>
          </w:tcPr>
          <w:p>
            <w:pPr>
              <w:widowControl/>
              <w:jc w:val="left"/>
              <w:rPr>
                <w:rFonts w:ascii="宋体" w:hAnsi="宋体" w:eastAsia="宋体" w:cs="宋体"/>
                <w:color w:val="000000"/>
                <w:kern w:val="0"/>
                <w:sz w:val="24"/>
                <w:szCs w:val="24"/>
              </w:rPr>
            </w:pPr>
          </w:p>
        </w:tc>
        <w:tc>
          <w:tcPr>
            <w:tcW w:w="855" w:type="dxa"/>
            <w:vAlign w:val="center"/>
          </w:tcPr>
          <w:p>
            <w:pPr>
              <w:widowControl/>
              <w:jc w:val="left"/>
              <w:rPr>
                <w:rFonts w:ascii="宋体" w:hAnsi="宋体" w:eastAsia="宋体" w:cs="宋体"/>
                <w:color w:val="000000"/>
                <w:kern w:val="0"/>
                <w:sz w:val="24"/>
                <w:szCs w:val="24"/>
              </w:rPr>
            </w:pPr>
          </w:p>
        </w:tc>
        <w:tc>
          <w:tcPr>
            <w:tcW w:w="973" w:type="dxa"/>
            <w:vAlign w:val="center"/>
          </w:tcPr>
          <w:p>
            <w:pPr>
              <w:widowControl/>
              <w:jc w:val="left"/>
              <w:rPr>
                <w:rFonts w:ascii="宋体" w:hAnsi="宋体" w:eastAsia="宋体" w:cs="宋体"/>
                <w:color w:val="000000"/>
                <w:kern w:val="0"/>
                <w:sz w:val="24"/>
                <w:szCs w:val="24"/>
              </w:rPr>
            </w:pPr>
          </w:p>
        </w:tc>
        <w:tc>
          <w:tcPr>
            <w:tcW w:w="1183" w:type="dxa"/>
            <w:vAlign w:val="center"/>
          </w:tcPr>
          <w:p>
            <w:pPr>
              <w:widowControl/>
              <w:jc w:val="left"/>
              <w:rPr>
                <w:rFonts w:ascii="宋体" w:hAnsi="宋体" w:eastAsia="宋体" w:cs="宋体"/>
                <w:color w:val="000000"/>
                <w:kern w:val="0"/>
                <w:sz w:val="24"/>
                <w:szCs w:val="24"/>
              </w:rPr>
            </w:pPr>
          </w:p>
        </w:tc>
        <w:tc>
          <w:tcPr>
            <w:tcW w:w="747" w:type="dxa"/>
            <w:vAlign w:val="center"/>
          </w:tcPr>
          <w:p>
            <w:pPr>
              <w:widowControl/>
              <w:jc w:val="left"/>
              <w:rPr>
                <w:rFonts w:ascii="宋体" w:hAnsi="宋体" w:eastAsia="宋体" w:cs="宋体"/>
                <w:color w:val="000000"/>
                <w:kern w:val="0"/>
                <w:sz w:val="24"/>
                <w:szCs w:val="24"/>
              </w:rPr>
            </w:pPr>
          </w:p>
        </w:tc>
        <w:tc>
          <w:tcPr>
            <w:tcW w:w="645" w:type="dxa"/>
            <w:vAlign w:val="center"/>
          </w:tcPr>
          <w:p>
            <w:pPr>
              <w:widowControl/>
              <w:jc w:val="left"/>
              <w:rPr>
                <w:rFonts w:ascii="宋体" w:hAnsi="宋体" w:eastAsia="宋体" w:cs="宋体"/>
                <w:color w:val="000000"/>
                <w:kern w:val="0"/>
                <w:sz w:val="24"/>
                <w:szCs w:val="24"/>
              </w:rPr>
            </w:pPr>
          </w:p>
        </w:tc>
        <w:tc>
          <w:tcPr>
            <w:tcW w:w="708" w:type="dxa"/>
            <w:vAlign w:val="center"/>
          </w:tcPr>
          <w:p>
            <w:pPr>
              <w:widowControl/>
              <w:jc w:val="left"/>
              <w:rPr>
                <w:rFonts w:ascii="宋体" w:hAnsi="宋体" w:eastAsia="宋体" w:cs="宋体"/>
                <w:color w:val="000000"/>
                <w:kern w:val="0"/>
                <w:sz w:val="24"/>
                <w:szCs w:val="24"/>
              </w:rPr>
            </w:pPr>
          </w:p>
        </w:tc>
        <w:tc>
          <w:tcPr>
            <w:tcW w:w="890" w:type="dxa"/>
            <w:vAlign w:val="center"/>
          </w:tcPr>
          <w:p>
            <w:pPr>
              <w:widowControl/>
              <w:jc w:val="left"/>
              <w:rPr>
                <w:rFonts w:ascii="宋体" w:hAnsi="宋体" w:eastAsia="宋体" w:cs="宋体"/>
                <w:color w:val="000000"/>
                <w:kern w:val="0"/>
                <w:sz w:val="24"/>
                <w:szCs w:val="24"/>
              </w:rPr>
            </w:pPr>
          </w:p>
        </w:tc>
        <w:tc>
          <w:tcPr>
            <w:tcW w:w="1008" w:type="dxa"/>
            <w:vAlign w:val="center"/>
          </w:tcPr>
          <w:p>
            <w:pPr>
              <w:widowControl/>
              <w:jc w:val="left"/>
              <w:rPr>
                <w:rFonts w:ascii="宋体" w:hAnsi="宋体" w:eastAsia="宋体" w:cs="宋体"/>
                <w:color w:val="000000"/>
                <w:kern w:val="0"/>
                <w:sz w:val="24"/>
                <w:szCs w:val="24"/>
              </w:rPr>
            </w:pPr>
          </w:p>
        </w:tc>
        <w:tc>
          <w:tcPr>
            <w:tcW w:w="719" w:type="dxa"/>
            <w:vAlign w:val="center"/>
          </w:tcPr>
          <w:p>
            <w:pPr>
              <w:widowControl/>
              <w:jc w:val="left"/>
              <w:rPr>
                <w:rFonts w:ascii="宋体" w:hAnsi="宋体" w:eastAsia="宋体" w:cs="宋体"/>
                <w:color w:val="000000"/>
                <w:kern w:val="0"/>
                <w:sz w:val="24"/>
                <w:szCs w:val="24"/>
              </w:rPr>
            </w:pPr>
          </w:p>
        </w:tc>
      </w:tr>
      <w:tr>
        <w:tblPrEx>
          <w:tblCellMar>
            <w:top w:w="15" w:type="dxa"/>
            <w:left w:w="108" w:type="dxa"/>
            <w:bottom w:w="15" w:type="dxa"/>
            <w:right w:w="108" w:type="dxa"/>
          </w:tblCellMar>
        </w:tblPrEx>
        <w:trPr>
          <w:trHeight w:val="314" w:hRule="atLeast"/>
        </w:trPr>
        <w:tc>
          <w:tcPr>
            <w:tcW w:w="14615" w:type="dxa"/>
            <w:gridSpan w:val="17"/>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常宁市教师系列拟申报一级教师职称人员量化考核推荐情况花名册</w:t>
            </w:r>
          </w:p>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单位(盖章):</w:t>
            </w:r>
          </w:p>
        </w:tc>
      </w:tr>
      <w:tr>
        <w:tblPrEx>
          <w:tblCellMar>
            <w:top w:w="15" w:type="dxa"/>
            <w:left w:w="108" w:type="dxa"/>
            <w:bottom w:w="15" w:type="dxa"/>
            <w:right w:w="108" w:type="dxa"/>
          </w:tblCellMar>
        </w:tblPrEx>
        <w:trPr>
          <w:trHeight w:val="838" w:hRule="atLeast"/>
        </w:trPr>
        <w:tc>
          <w:tcPr>
            <w:tcW w:w="663"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897"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姓名</w:t>
            </w:r>
          </w:p>
        </w:tc>
        <w:tc>
          <w:tcPr>
            <w:tcW w:w="416"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性别</w:t>
            </w:r>
          </w:p>
        </w:tc>
        <w:tc>
          <w:tcPr>
            <w:tcW w:w="1777"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身份证号码</w:t>
            </w:r>
          </w:p>
        </w:tc>
        <w:tc>
          <w:tcPr>
            <w:tcW w:w="718"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参加教育工作时间</w:t>
            </w:r>
          </w:p>
        </w:tc>
        <w:tc>
          <w:tcPr>
            <w:tcW w:w="685"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学历</w:t>
            </w:r>
          </w:p>
        </w:tc>
        <w:tc>
          <w:tcPr>
            <w:tcW w:w="669"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申报学科</w:t>
            </w:r>
          </w:p>
        </w:tc>
        <w:tc>
          <w:tcPr>
            <w:tcW w:w="1062"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已获专业技术职务资格</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及时间</w:t>
            </w:r>
          </w:p>
        </w:tc>
        <w:tc>
          <w:tcPr>
            <w:tcW w:w="855"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拟申报专业技术职务资格</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基本条件与综合荣誉材料、继教、班主任等</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18"/>
                <w:szCs w:val="18"/>
              </w:rPr>
              <w:t>（43分</w:t>
            </w:r>
            <w:r>
              <w:rPr>
                <w:rFonts w:ascii="宋体" w:hAnsi="宋体" w:eastAsia="宋体" w:cs="宋体"/>
                <w:color w:val="000000"/>
                <w:kern w:val="0"/>
                <w:sz w:val="20"/>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任现职以来的工作业绩与工作效果（43.5分）</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民意测评(3分)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排名</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教学能力测试(10.5分)</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综合</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排名</w:t>
            </w:r>
          </w:p>
        </w:tc>
      </w:tr>
      <w:tr>
        <w:tblPrEx>
          <w:tblCellMar>
            <w:top w:w="15" w:type="dxa"/>
            <w:left w:w="108" w:type="dxa"/>
            <w:bottom w:w="15" w:type="dxa"/>
            <w:right w:w="108" w:type="dxa"/>
          </w:tblCellMar>
        </w:tblPrEx>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blPrEx>
          <w:tblCellMar>
            <w:top w:w="15" w:type="dxa"/>
            <w:left w:w="108" w:type="dxa"/>
            <w:bottom w:w="15" w:type="dxa"/>
            <w:right w:w="108" w:type="dxa"/>
          </w:tblCellMar>
        </w:tblPrEx>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r>
        <w:trPr>
          <w:trHeight w:val="427"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r>
    </w:tbl>
    <w:p>
      <w:pPr>
        <w:spacing w:line="640" w:lineRule="exact"/>
        <w:rPr>
          <w:rFonts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735017"/>
      <w:docPartObj>
        <w:docPartGallery w:val="AutoText"/>
      </w:docPartObj>
    </w:sdtPr>
    <w:sdtEndPr>
      <w:rPr>
        <w:lang w:val="zh-CN"/>
      </w:rPr>
    </w:sdtEnd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01269"/>
    <w:multiLevelType w:val="multilevel"/>
    <w:tmpl w:val="66701269"/>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754E7C31"/>
    <w:multiLevelType w:val="multilevel"/>
    <w:tmpl w:val="754E7C31"/>
    <w:lvl w:ilvl="0" w:tentative="0">
      <w:start w:val="5"/>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val="1"/>
  <w:bordersDoNotSurroundHeader w:val="1"/>
  <w:bordersDoNotSurroundFooter w:val="1"/>
  <w:documentProtection w:enforcement="0"/>
  <w:defaultTabStop w:val="42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669C"/>
    <w:rsid w:val="0000140B"/>
    <w:rsid w:val="000068ED"/>
    <w:rsid w:val="000115BE"/>
    <w:rsid w:val="00016DFD"/>
    <w:rsid w:val="00026841"/>
    <w:rsid w:val="00031BB2"/>
    <w:rsid w:val="00032001"/>
    <w:rsid w:val="00037014"/>
    <w:rsid w:val="000418A6"/>
    <w:rsid w:val="00044291"/>
    <w:rsid w:val="000454C3"/>
    <w:rsid w:val="00046620"/>
    <w:rsid w:val="00054792"/>
    <w:rsid w:val="00055ED7"/>
    <w:rsid w:val="000619F2"/>
    <w:rsid w:val="000657FE"/>
    <w:rsid w:val="000735A8"/>
    <w:rsid w:val="00073B75"/>
    <w:rsid w:val="0007497C"/>
    <w:rsid w:val="000830B2"/>
    <w:rsid w:val="00084F30"/>
    <w:rsid w:val="0008657A"/>
    <w:rsid w:val="00086F5C"/>
    <w:rsid w:val="00087228"/>
    <w:rsid w:val="00091A99"/>
    <w:rsid w:val="00093019"/>
    <w:rsid w:val="00095BCF"/>
    <w:rsid w:val="0009688C"/>
    <w:rsid w:val="000A3353"/>
    <w:rsid w:val="000A4B5E"/>
    <w:rsid w:val="000A58B6"/>
    <w:rsid w:val="000A70E5"/>
    <w:rsid w:val="000C4DFD"/>
    <w:rsid w:val="000C61A4"/>
    <w:rsid w:val="000D6468"/>
    <w:rsid w:val="000D7DF7"/>
    <w:rsid w:val="000E0528"/>
    <w:rsid w:val="000E1304"/>
    <w:rsid w:val="000E3B9B"/>
    <w:rsid w:val="000F039F"/>
    <w:rsid w:val="000F7352"/>
    <w:rsid w:val="001015CD"/>
    <w:rsid w:val="00102FA8"/>
    <w:rsid w:val="00103A25"/>
    <w:rsid w:val="0010771F"/>
    <w:rsid w:val="00111502"/>
    <w:rsid w:val="0011283D"/>
    <w:rsid w:val="001152F6"/>
    <w:rsid w:val="00116607"/>
    <w:rsid w:val="00120B40"/>
    <w:rsid w:val="0013453A"/>
    <w:rsid w:val="001378BE"/>
    <w:rsid w:val="0014097E"/>
    <w:rsid w:val="00144C00"/>
    <w:rsid w:val="00146B27"/>
    <w:rsid w:val="0015525A"/>
    <w:rsid w:val="001601A4"/>
    <w:rsid w:val="001655C2"/>
    <w:rsid w:val="00167371"/>
    <w:rsid w:val="0017104C"/>
    <w:rsid w:val="00171B17"/>
    <w:rsid w:val="00173DDE"/>
    <w:rsid w:val="00176303"/>
    <w:rsid w:val="001779E8"/>
    <w:rsid w:val="00180322"/>
    <w:rsid w:val="0018092F"/>
    <w:rsid w:val="0018451C"/>
    <w:rsid w:val="00184E9D"/>
    <w:rsid w:val="001867EE"/>
    <w:rsid w:val="00192BE3"/>
    <w:rsid w:val="001A35D5"/>
    <w:rsid w:val="001A646C"/>
    <w:rsid w:val="001A7081"/>
    <w:rsid w:val="001B1B1A"/>
    <w:rsid w:val="001B33FA"/>
    <w:rsid w:val="001B7FAD"/>
    <w:rsid w:val="001C279D"/>
    <w:rsid w:val="001D2567"/>
    <w:rsid w:val="001E1E96"/>
    <w:rsid w:val="001E4040"/>
    <w:rsid w:val="001E497B"/>
    <w:rsid w:val="001F4B86"/>
    <w:rsid w:val="001F51AB"/>
    <w:rsid w:val="00202C01"/>
    <w:rsid w:val="0021112E"/>
    <w:rsid w:val="00214A12"/>
    <w:rsid w:val="002157CC"/>
    <w:rsid w:val="00215CC0"/>
    <w:rsid w:val="00216FD7"/>
    <w:rsid w:val="00220AAA"/>
    <w:rsid w:val="00220C14"/>
    <w:rsid w:val="0022118A"/>
    <w:rsid w:val="00231126"/>
    <w:rsid w:val="00231368"/>
    <w:rsid w:val="00234291"/>
    <w:rsid w:val="002349E1"/>
    <w:rsid w:val="002375EB"/>
    <w:rsid w:val="002377B8"/>
    <w:rsid w:val="00241335"/>
    <w:rsid w:val="00243994"/>
    <w:rsid w:val="00247FDB"/>
    <w:rsid w:val="002548CF"/>
    <w:rsid w:val="00261352"/>
    <w:rsid w:val="0026177F"/>
    <w:rsid w:val="00262510"/>
    <w:rsid w:val="00263711"/>
    <w:rsid w:val="00267F8B"/>
    <w:rsid w:val="00272278"/>
    <w:rsid w:val="0027227C"/>
    <w:rsid w:val="00280054"/>
    <w:rsid w:val="00281E53"/>
    <w:rsid w:val="00292E63"/>
    <w:rsid w:val="00293837"/>
    <w:rsid w:val="00296C59"/>
    <w:rsid w:val="002A1973"/>
    <w:rsid w:val="002A2931"/>
    <w:rsid w:val="002A2CC6"/>
    <w:rsid w:val="002A477B"/>
    <w:rsid w:val="002A53DF"/>
    <w:rsid w:val="002B16DA"/>
    <w:rsid w:val="002B7D12"/>
    <w:rsid w:val="002C0A7E"/>
    <w:rsid w:val="002C1963"/>
    <w:rsid w:val="002C39F1"/>
    <w:rsid w:val="002C55F5"/>
    <w:rsid w:val="002D1D53"/>
    <w:rsid w:val="002D3868"/>
    <w:rsid w:val="002D7645"/>
    <w:rsid w:val="002E0402"/>
    <w:rsid w:val="002E0A71"/>
    <w:rsid w:val="002E0D09"/>
    <w:rsid w:val="002E3AFF"/>
    <w:rsid w:val="002E5CAA"/>
    <w:rsid w:val="002F1F98"/>
    <w:rsid w:val="002F1FB3"/>
    <w:rsid w:val="002F464B"/>
    <w:rsid w:val="00300F93"/>
    <w:rsid w:val="00303E9F"/>
    <w:rsid w:val="003049ED"/>
    <w:rsid w:val="0030667B"/>
    <w:rsid w:val="00314028"/>
    <w:rsid w:val="00317062"/>
    <w:rsid w:val="00317956"/>
    <w:rsid w:val="0032191F"/>
    <w:rsid w:val="0032353A"/>
    <w:rsid w:val="00326073"/>
    <w:rsid w:val="003270F7"/>
    <w:rsid w:val="0033293E"/>
    <w:rsid w:val="003363A6"/>
    <w:rsid w:val="0033721F"/>
    <w:rsid w:val="00341831"/>
    <w:rsid w:val="00342303"/>
    <w:rsid w:val="003455FD"/>
    <w:rsid w:val="003517EC"/>
    <w:rsid w:val="003518C0"/>
    <w:rsid w:val="003518DC"/>
    <w:rsid w:val="00354468"/>
    <w:rsid w:val="003549FD"/>
    <w:rsid w:val="00363ED3"/>
    <w:rsid w:val="00364A6B"/>
    <w:rsid w:val="003659FA"/>
    <w:rsid w:val="00367103"/>
    <w:rsid w:val="003723B2"/>
    <w:rsid w:val="00373F94"/>
    <w:rsid w:val="00375512"/>
    <w:rsid w:val="00380372"/>
    <w:rsid w:val="00386A62"/>
    <w:rsid w:val="003903D3"/>
    <w:rsid w:val="00392A83"/>
    <w:rsid w:val="0039463D"/>
    <w:rsid w:val="003A38EE"/>
    <w:rsid w:val="003A5FD3"/>
    <w:rsid w:val="003A6D0E"/>
    <w:rsid w:val="003A703E"/>
    <w:rsid w:val="003B03C6"/>
    <w:rsid w:val="003C0806"/>
    <w:rsid w:val="003E0524"/>
    <w:rsid w:val="003E3610"/>
    <w:rsid w:val="003E4CE6"/>
    <w:rsid w:val="003E4F1B"/>
    <w:rsid w:val="003E590F"/>
    <w:rsid w:val="003F04E3"/>
    <w:rsid w:val="003F0533"/>
    <w:rsid w:val="003F244A"/>
    <w:rsid w:val="003F2D99"/>
    <w:rsid w:val="003F3261"/>
    <w:rsid w:val="00401A3F"/>
    <w:rsid w:val="00403293"/>
    <w:rsid w:val="00403E33"/>
    <w:rsid w:val="004052F6"/>
    <w:rsid w:val="004075D8"/>
    <w:rsid w:val="0040760D"/>
    <w:rsid w:val="0041322F"/>
    <w:rsid w:val="00413620"/>
    <w:rsid w:val="004137CD"/>
    <w:rsid w:val="00417724"/>
    <w:rsid w:val="00417B5E"/>
    <w:rsid w:val="004203D3"/>
    <w:rsid w:val="0042153A"/>
    <w:rsid w:val="00424DC8"/>
    <w:rsid w:val="00430AD1"/>
    <w:rsid w:val="004345AF"/>
    <w:rsid w:val="00436902"/>
    <w:rsid w:val="00437A53"/>
    <w:rsid w:val="00440D52"/>
    <w:rsid w:val="00442F6E"/>
    <w:rsid w:val="004438A2"/>
    <w:rsid w:val="004468AE"/>
    <w:rsid w:val="00450032"/>
    <w:rsid w:val="00457A63"/>
    <w:rsid w:val="004672DB"/>
    <w:rsid w:val="00481ADA"/>
    <w:rsid w:val="00485BF1"/>
    <w:rsid w:val="00490458"/>
    <w:rsid w:val="00490ED9"/>
    <w:rsid w:val="004910D6"/>
    <w:rsid w:val="00491129"/>
    <w:rsid w:val="00492D95"/>
    <w:rsid w:val="00494762"/>
    <w:rsid w:val="00494A69"/>
    <w:rsid w:val="004951D2"/>
    <w:rsid w:val="004A00EF"/>
    <w:rsid w:val="004A0317"/>
    <w:rsid w:val="004A03A2"/>
    <w:rsid w:val="004A18D2"/>
    <w:rsid w:val="004A26EE"/>
    <w:rsid w:val="004A409D"/>
    <w:rsid w:val="004B7D7B"/>
    <w:rsid w:val="004C1D78"/>
    <w:rsid w:val="004C24A3"/>
    <w:rsid w:val="004C3071"/>
    <w:rsid w:val="004C6D71"/>
    <w:rsid w:val="004C7444"/>
    <w:rsid w:val="004D4196"/>
    <w:rsid w:val="004D6420"/>
    <w:rsid w:val="004E79EC"/>
    <w:rsid w:val="004F1025"/>
    <w:rsid w:val="004F44C2"/>
    <w:rsid w:val="004F509D"/>
    <w:rsid w:val="004F6F22"/>
    <w:rsid w:val="005010C4"/>
    <w:rsid w:val="00503567"/>
    <w:rsid w:val="00504B37"/>
    <w:rsid w:val="00504F28"/>
    <w:rsid w:val="00514AEC"/>
    <w:rsid w:val="00516D23"/>
    <w:rsid w:val="00520B87"/>
    <w:rsid w:val="00535E01"/>
    <w:rsid w:val="005461D6"/>
    <w:rsid w:val="00547E78"/>
    <w:rsid w:val="00552255"/>
    <w:rsid w:val="005612DF"/>
    <w:rsid w:val="00561612"/>
    <w:rsid w:val="0056165A"/>
    <w:rsid w:val="0056337A"/>
    <w:rsid w:val="00570D6D"/>
    <w:rsid w:val="00574B02"/>
    <w:rsid w:val="00574C7B"/>
    <w:rsid w:val="00577A43"/>
    <w:rsid w:val="005814D8"/>
    <w:rsid w:val="005818D2"/>
    <w:rsid w:val="00583425"/>
    <w:rsid w:val="00593780"/>
    <w:rsid w:val="00594EA7"/>
    <w:rsid w:val="005A09CF"/>
    <w:rsid w:val="005A1067"/>
    <w:rsid w:val="005A391B"/>
    <w:rsid w:val="005A614B"/>
    <w:rsid w:val="005A6D5F"/>
    <w:rsid w:val="005B7B4B"/>
    <w:rsid w:val="005B7EE0"/>
    <w:rsid w:val="005D42B7"/>
    <w:rsid w:val="005D499B"/>
    <w:rsid w:val="005D4C21"/>
    <w:rsid w:val="005D54DE"/>
    <w:rsid w:val="005E149F"/>
    <w:rsid w:val="005E3A74"/>
    <w:rsid w:val="005E5DEF"/>
    <w:rsid w:val="005E6337"/>
    <w:rsid w:val="005F386E"/>
    <w:rsid w:val="005F5240"/>
    <w:rsid w:val="00601C91"/>
    <w:rsid w:val="00603FA9"/>
    <w:rsid w:val="00605688"/>
    <w:rsid w:val="00607989"/>
    <w:rsid w:val="0061303C"/>
    <w:rsid w:val="00616C67"/>
    <w:rsid w:val="006203F1"/>
    <w:rsid w:val="00621C2C"/>
    <w:rsid w:val="00625BB0"/>
    <w:rsid w:val="00631322"/>
    <w:rsid w:val="00634420"/>
    <w:rsid w:val="00634C3A"/>
    <w:rsid w:val="006363D0"/>
    <w:rsid w:val="006402FD"/>
    <w:rsid w:val="006418F4"/>
    <w:rsid w:val="00650134"/>
    <w:rsid w:val="00651D43"/>
    <w:rsid w:val="00652A96"/>
    <w:rsid w:val="00653361"/>
    <w:rsid w:val="00653F4E"/>
    <w:rsid w:val="00656E99"/>
    <w:rsid w:val="0066036C"/>
    <w:rsid w:val="00671142"/>
    <w:rsid w:val="00671953"/>
    <w:rsid w:val="0067211A"/>
    <w:rsid w:val="00676F3E"/>
    <w:rsid w:val="00682A2F"/>
    <w:rsid w:val="006973D4"/>
    <w:rsid w:val="006B59C8"/>
    <w:rsid w:val="006B661C"/>
    <w:rsid w:val="006B6EAC"/>
    <w:rsid w:val="006D38A1"/>
    <w:rsid w:val="006D4DF4"/>
    <w:rsid w:val="006D69CA"/>
    <w:rsid w:val="006E7CBE"/>
    <w:rsid w:val="006F5912"/>
    <w:rsid w:val="00700026"/>
    <w:rsid w:val="00722C4D"/>
    <w:rsid w:val="007240C0"/>
    <w:rsid w:val="00724AE7"/>
    <w:rsid w:val="00725E20"/>
    <w:rsid w:val="00727144"/>
    <w:rsid w:val="0073172C"/>
    <w:rsid w:val="00732D98"/>
    <w:rsid w:val="007365A6"/>
    <w:rsid w:val="0074124B"/>
    <w:rsid w:val="00752230"/>
    <w:rsid w:val="00752A74"/>
    <w:rsid w:val="00752B81"/>
    <w:rsid w:val="00752D72"/>
    <w:rsid w:val="0075466E"/>
    <w:rsid w:val="00757773"/>
    <w:rsid w:val="007606E7"/>
    <w:rsid w:val="00762E5B"/>
    <w:rsid w:val="00776775"/>
    <w:rsid w:val="0078596E"/>
    <w:rsid w:val="007918A1"/>
    <w:rsid w:val="00791E4D"/>
    <w:rsid w:val="00793D3B"/>
    <w:rsid w:val="00793F3A"/>
    <w:rsid w:val="007A49D5"/>
    <w:rsid w:val="007A7CBF"/>
    <w:rsid w:val="007C2A2F"/>
    <w:rsid w:val="007C7EF4"/>
    <w:rsid w:val="007D286B"/>
    <w:rsid w:val="007D3303"/>
    <w:rsid w:val="007D39C9"/>
    <w:rsid w:val="007D3B5D"/>
    <w:rsid w:val="007D6EA3"/>
    <w:rsid w:val="007E0643"/>
    <w:rsid w:val="007F3871"/>
    <w:rsid w:val="00800E8F"/>
    <w:rsid w:val="00806491"/>
    <w:rsid w:val="008114CC"/>
    <w:rsid w:val="00815AFD"/>
    <w:rsid w:val="00822815"/>
    <w:rsid w:val="00824727"/>
    <w:rsid w:val="00832CD0"/>
    <w:rsid w:val="008333E4"/>
    <w:rsid w:val="00833FCD"/>
    <w:rsid w:val="00837C0F"/>
    <w:rsid w:val="008417A7"/>
    <w:rsid w:val="00846918"/>
    <w:rsid w:val="00857C24"/>
    <w:rsid w:val="00857E44"/>
    <w:rsid w:val="00862876"/>
    <w:rsid w:val="008668CE"/>
    <w:rsid w:val="008722A6"/>
    <w:rsid w:val="00873B0A"/>
    <w:rsid w:val="00881526"/>
    <w:rsid w:val="00883094"/>
    <w:rsid w:val="00883CA3"/>
    <w:rsid w:val="00893264"/>
    <w:rsid w:val="00895BB6"/>
    <w:rsid w:val="008971D8"/>
    <w:rsid w:val="008A07DE"/>
    <w:rsid w:val="008A283F"/>
    <w:rsid w:val="008A2F3C"/>
    <w:rsid w:val="008B09B6"/>
    <w:rsid w:val="008C0326"/>
    <w:rsid w:val="008C0A63"/>
    <w:rsid w:val="008C0EAD"/>
    <w:rsid w:val="008C21E7"/>
    <w:rsid w:val="008C3D98"/>
    <w:rsid w:val="008C7A99"/>
    <w:rsid w:val="008D2568"/>
    <w:rsid w:val="008E013D"/>
    <w:rsid w:val="008E06EC"/>
    <w:rsid w:val="008E1456"/>
    <w:rsid w:val="008E263E"/>
    <w:rsid w:val="008E5A67"/>
    <w:rsid w:val="008F00AD"/>
    <w:rsid w:val="008F17BB"/>
    <w:rsid w:val="008F2599"/>
    <w:rsid w:val="008F7E24"/>
    <w:rsid w:val="00903B14"/>
    <w:rsid w:val="0090738C"/>
    <w:rsid w:val="009137E4"/>
    <w:rsid w:val="00914F33"/>
    <w:rsid w:val="00915017"/>
    <w:rsid w:val="00917B3A"/>
    <w:rsid w:val="00921E84"/>
    <w:rsid w:val="00922C05"/>
    <w:rsid w:val="00924A05"/>
    <w:rsid w:val="0092502D"/>
    <w:rsid w:val="00935EFC"/>
    <w:rsid w:val="009436C3"/>
    <w:rsid w:val="009460F8"/>
    <w:rsid w:val="009463FB"/>
    <w:rsid w:val="009626F7"/>
    <w:rsid w:val="009659DC"/>
    <w:rsid w:val="009660A5"/>
    <w:rsid w:val="00966252"/>
    <w:rsid w:val="00981AC4"/>
    <w:rsid w:val="00981F39"/>
    <w:rsid w:val="00983A69"/>
    <w:rsid w:val="009843FF"/>
    <w:rsid w:val="00985790"/>
    <w:rsid w:val="009857E0"/>
    <w:rsid w:val="00985F86"/>
    <w:rsid w:val="00987F84"/>
    <w:rsid w:val="00991AA9"/>
    <w:rsid w:val="009A0295"/>
    <w:rsid w:val="009A12A5"/>
    <w:rsid w:val="009A18F7"/>
    <w:rsid w:val="009A4298"/>
    <w:rsid w:val="009A5D64"/>
    <w:rsid w:val="009C04A3"/>
    <w:rsid w:val="009C3D2E"/>
    <w:rsid w:val="009C467A"/>
    <w:rsid w:val="009C4DAB"/>
    <w:rsid w:val="009D1C08"/>
    <w:rsid w:val="009D451E"/>
    <w:rsid w:val="009D65F0"/>
    <w:rsid w:val="009D663F"/>
    <w:rsid w:val="009E0838"/>
    <w:rsid w:val="009E1797"/>
    <w:rsid w:val="009E3574"/>
    <w:rsid w:val="009E56ED"/>
    <w:rsid w:val="009E7D2C"/>
    <w:rsid w:val="009E7ED3"/>
    <w:rsid w:val="009F12E7"/>
    <w:rsid w:val="009F1CDB"/>
    <w:rsid w:val="00A01C73"/>
    <w:rsid w:val="00A03431"/>
    <w:rsid w:val="00A044F1"/>
    <w:rsid w:val="00A06084"/>
    <w:rsid w:val="00A06C89"/>
    <w:rsid w:val="00A07D38"/>
    <w:rsid w:val="00A209EA"/>
    <w:rsid w:val="00A231B0"/>
    <w:rsid w:val="00A25D04"/>
    <w:rsid w:val="00A25DE4"/>
    <w:rsid w:val="00A2615E"/>
    <w:rsid w:val="00A261AF"/>
    <w:rsid w:val="00A26AFC"/>
    <w:rsid w:val="00A30BFE"/>
    <w:rsid w:val="00A32825"/>
    <w:rsid w:val="00A34DF2"/>
    <w:rsid w:val="00A34E41"/>
    <w:rsid w:val="00A372A9"/>
    <w:rsid w:val="00A405B6"/>
    <w:rsid w:val="00A4519F"/>
    <w:rsid w:val="00A45F1B"/>
    <w:rsid w:val="00A56EA2"/>
    <w:rsid w:val="00A62836"/>
    <w:rsid w:val="00A64FD9"/>
    <w:rsid w:val="00A6520C"/>
    <w:rsid w:val="00A66B31"/>
    <w:rsid w:val="00A673AD"/>
    <w:rsid w:val="00A67DAE"/>
    <w:rsid w:val="00A77738"/>
    <w:rsid w:val="00A83A00"/>
    <w:rsid w:val="00A85B00"/>
    <w:rsid w:val="00A874EC"/>
    <w:rsid w:val="00AA2617"/>
    <w:rsid w:val="00AA687F"/>
    <w:rsid w:val="00AA7116"/>
    <w:rsid w:val="00AA75F1"/>
    <w:rsid w:val="00AB1FDE"/>
    <w:rsid w:val="00AB24BB"/>
    <w:rsid w:val="00AB442E"/>
    <w:rsid w:val="00AC7BE3"/>
    <w:rsid w:val="00AF1615"/>
    <w:rsid w:val="00AF2DDF"/>
    <w:rsid w:val="00AF382F"/>
    <w:rsid w:val="00AF3A9B"/>
    <w:rsid w:val="00AF7CDB"/>
    <w:rsid w:val="00B03282"/>
    <w:rsid w:val="00B049AD"/>
    <w:rsid w:val="00B04AD4"/>
    <w:rsid w:val="00B0579C"/>
    <w:rsid w:val="00B07A83"/>
    <w:rsid w:val="00B1214F"/>
    <w:rsid w:val="00B17628"/>
    <w:rsid w:val="00B25CC2"/>
    <w:rsid w:val="00B25FD0"/>
    <w:rsid w:val="00B27025"/>
    <w:rsid w:val="00B32D0F"/>
    <w:rsid w:val="00B33CF3"/>
    <w:rsid w:val="00B34447"/>
    <w:rsid w:val="00B34D2D"/>
    <w:rsid w:val="00B354FC"/>
    <w:rsid w:val="00B3669C"/>
    <w:rsid w:val="00B42FF1"/>
    <w:rsid w:val="00B53527"/>
    <w:rsid w:val="00B544DD"/>
    <w:rsid w:val="00B55D44"/>
    <w:rsid w:val="00B57321"/>
    <w:rsid w:val="00B57BE3"/>
    <w:rsid w:val="00B6026F"/>
    <w:rsid w:val="00B6037A"/>
    <w:rsid w:val="00B6711A"/>
    <w:rsid w:val="00B71EB7"/>
    <w:rsid w:val="00B75CCB"/>
    <w:rsid w:val="00B76386"/>
    <w:rsid w:val="00B822F4"/>
    <w:rsid w:val="00B85C91"/>
    <w:rsid w:val="00B87DF7"/>
    <w:rsid w:val="00B92D64"/>
    <w:rsid w:val="00B943B6"/>
    <w:rsid w:val="00B97CCB"/>
    <w:rsid w:val="00BA282F"/>
    <w:rsid w:val="00BA7BDD"/>
    <w:rsid w:val="00BB5D13"/>
    <w:rsid w:val="00BC25C4"/>
    <w:rsid w:val="00BC31D6"/>
    <w:rsid w:val="00BC3B13"/>
    <w:rsid w:val="00BC47EB"/>
    <w:rsid w:val="00BC5373"/>
    <w:rsid w:val="00BD3173"/>
    <w:rsid w:val="00BD6E48"/>
    <w:rsid w:val="00BE0819"/>
    <w:rsid w:val="00BE19A1"/>
    <w:rsid w:val="00BF5288"/>
    <w:rsid w:val="00C00213"/>
    <w:rsid w:val="00C11E67"/>
    <w:rsid w:val="00C13049"/>
    <w:rsid w:val="00C1407D"/>
    <w:rsid w:val="00C1543F"/>
    <w:rsid w:val="00C25AFD"/>
    <w:rsid w:val="00C3150A"/>
    <w:rsid w:val="00C367B0"/>
    <w:rsid w:val="00C4181D"/>
    <w:rsid w:val="00C42BFD"/>
    <w:rsid w:val="00C47317"/>
    <w:rsid w:val="00C47DA3"/>
    <w:rsid w:val="00C5328F"/>
    <w:rsid w:val="00C5407A"/>
    <w:rsid w:val="00C602C5"/>
    <w:rsid w:val="00C655D7"/>
    <w:rsid w:val="00C66A85"/>
    <w:rsid w:val="00C71BA2"/>
    <w:rsid w:val="00C72551"/>
    <w:rsid w:val="00C72977"/>
    <w:rsid w:val="00C72AE1"/>
    <w:rsid w:val="00C72CF1"/>
    <w:rsid w:val="00C738AB"/>
    <w:rsid w:val="00C752B2"/>
    <w:rsid w:val="00C82200"/>
    <w:rsid w:val="00C86661"/>
    <w:rsid w:val="00C91C76"/>
    <w:rsid w:val="00C94C69"/>
    <w:rsid w:val="00C97BC5"/>
    <w:rsid w:val="00CA0E5F"/>
    <w:rsid w:val="00CA2F16"/>
    <w:rsid w:val="00CA3308"/>
    <w:rsid w:val="00CB4A0F"/>
    <w:rsid w:val="00CB51C2"/>
    <w:rsid w:val="00CB653D"/>
    <w:rsid w:val="00CC1AB5"/>
    <w:rsid w:val="00CC5B98"/>
    <w:rsid w:val="00CC6E9B"/>
    <w:rsid w:val="00CD22E3"/>
    <w:rsid w:val="00CD283C"/>
    <w:rsid w:val="00CE46A1"/>
    <w:rsid w:val="00CF4C88"/>
    <w:rsid w:val="00CF61B4"/>
    <w:rsid w:val="00CF7048"/>
    <w:rsid w:val="00D005F0"/>
    <w:rsid w:val="00D00826"/>
    <w:rsid w:val="00D039F6"/>
    <w:rsid w:val="00D03F42"/>
    <w:rsid w:val="00D04590"/>
    <w:rsid w:val="00D05362"/>
    <w:rsid w:val="00D06FB3"/>
    <w:rsid w:val="00D12886"/>
    <w:rsid w:val="00D16031"/>
    <w:rsid w:val="00D219C0"/>
    <w:rsid w:val="00D2650D"/>
    <w:rsid w:val="00D3026D"/>
    <w:rsid w:val="00D3305D"/>
    <w:rsid w:val="00D330CD"/>
    <w:rsid w:val="00D34B55"/>
    <w:rsid w:val="00D41E8E"/>
    <w:rsid w:val="00D439A2"/>
    <w:rsid w:val="00D474AE"/>
    <w:rsid w:val="00D513F3"/>
    <w:rsid w:val="00D53702"/>
    <w:rsid w:val="00D5563E"/>
    <w:rsid w:val="00D578D8"/>
    <w:rsid w:val="00D62826"/>
    <w:rsid w:val="00D62CF6"/>
    <w:rsid w:val="00D638CA"/>
    <w:rsid w:val="00D704EC"/>
    <w:rsid w:val="00D725B0"/>
    <w:rsid w:val="00D73AAA"/>
    <w:rsid w:val="00D7741E"/>
    <w:rsid w:val="00D77C76"/>
    <w:rsid w:val="00D8650E"/>
    <w:rsid w:val="00D916F0"/>
    <w:rsid w:val="00D92F3F"/>
    <w:rsid w:val="00D93B09"/>
    <w:rsid w:val="00DA066A"/>
    <w:rsid w:val="00DA1032"/>
    <w:rsid w:val="00DA1C02"/>
    <w:rsid w:val="00DA3F9D"/>
    <w:rsid w:val="00DA5D29"/>
    <w:rsid w:val="00DB0A6C"/>
    <w:rsid w:val="00DB0BB1"/>
    <w:rsid w:val="00DB2165"/>
    <w:rsid w:val="00DB2FF5"/>
    <w:rsid w:val="00DB3029"/>
    <w:rsid w:val="00DB39CB"/>
    <w:rsid w:val="00DB3F52"/>
    <w:rsid w:val="00DC68DF"/>
    <w:rsid w:val="00DD53F2"/>
    <w:rsid w:val="00DD547C"/>
    <w:rsid w:val="00DE5EE3"/>
    <w:rsid w:val="00DF1E3A"/>
    <w:rsid w:val="00DF3DF4"/>
    <w:rsid w:val="00DF54E1"/>
    <w:rsid w:val="00DF5A91"/>
    <w:rsid w:val="00E008D1"/>
    <w:rsid w:val="00E01FAA"/>
    <w:rsid w:val="00E02D58"/>
    <w:rsid w:val="00E04FBA"/>
    <w:rsid w:val="00E14542"/>
    <w:rsid w:val="00E15774"/>
    <w:rsid w:val="00E16F4E"/>
    <w:rsid w:val="00E22DF3"/>
    <w:rsid w:val="00E2323C"/>
    <w:rsid w:val="00E243FB"/>
    <w:rsid w:val="00E302F2"/>
    <w:rsid w:val="00E30BA1"/>
    <w:rsid w:val="00E31071"/>
    <w:rsid w:val="00E320FB"/>
    <w:rsid w:val="00E325F4"/>
    <w:rsid w:val="00E33720"/>
    <w:rsid w:val="00E34718"/>
    <w:rsid w:val="00E37C8B"/>
    <w:rsid w:val="00E402C3"/>
    <w:rsid w:val="00E40B71"/>
    <w:rsid w:val="00E4261E"/>
    <w:rsid w:val="00E46436"/>
    <w:rsid w:val="00E474AF"/>
    <w:rsid w:val="00E627A1"/>
    <w:rsid w:val="00E64E0D"/>
    <w:rsid w:val="00E72A17"/>
    <w:rsid w:val="00E755C4"/>
    <w:rsid w:val="00E75E16"/>
    <w:rsid w:val="00E7636B"/>
    <w:rsid w:val="00E77825"/>
    <w:rsid w:val="00E77F72"/>
    <w:rsid w:val="00E828DC"/>
    <w:rsid w:val="00E83451"/>
    <w:rsid w:val="00E84AF6"/>
    <w:rsid w:val="00E85719"/>
    <w:rsid w:val="00E9021B"/>
    <w:rsid w:val="00E90897"/>
    <w:rsid w:val="00E9285E"/>
    <w:rsid w:val="00E94EFE"/>
    <w:rsid w:val="00E9646E"/>
    <w:rsid w:val="00E97C70"/>
    <w:rsid w:val="00EA0766"/>
    <w:rsid w:val="00EA2140"/>
    <w:rsid w:val="00EA4A2F"/>
    <w:rsid w:val="00EB0BD9"/>
    <w:rsid w:val="00EB62C8"/>
    <w:rsid w:val="00EB7ACC"/>
    <w:rsid w:val="00EC02E8"/>
    <w:rsid w:val="00ED14BF"/>
    <w:rsid w:val="00ED339B"/>
    <w:rsid w:val="00ED59B1"/>
    <w:rsid w:val="00EE6612"/>
    <w:rsid w:val="00EF02A6"/>
    <w:rsid w:val="00EF3A5A"/>
    <w:rsid w:val="00F01BCA"/>
    <w:rsid w:val="00F058BC"/>
    <w:rsid w:val="00F17413"/>
    <w:rsid w:val="00F40F5D"/>
    <w:rsid w:val="00F42C76"/>
    <w:rsid w:val="00F547EF"/>
    <w:rsid w:val="00F56FE4"/>
    <w:rsid w:val="00F63BA5"/>
    <w:rsid w:val="00F64D4C"/>
    <w:rsid w:val="00F66965"/>
    <w:rsid w:val="00F66EA2"/>
    <w:rsid w:val="00F67743"/>
    <w:rsid w:val="00F73DAD"/>
    <w:rsid w:val="00F75E8B"/>
    <w:rsid w:val="00F76CF2"/>
    <w:rsid w:val="00F80452"/>
    <w:rsid w:val="00F8133C"/>
    <w:rsid w:val="00F81936"/>
    <w:rsid w:val="00F8247E"/>
    <w:rsid w:val="00F82B69"/>
    <w:rsid w:val="00F839A6"/>
    <w:rsid w:val="00F90B56"/>
    <w:rsid w:val="00F90DDE"/>
    <w:rsid w:val="00F9186D"/>
    <w:rsid w:val="00F94E51"/>
    <w:rsid w:val="00F95E96"/>
    <w:rsid w:val="00FA4878"/>
    <w:rsid w:val="00FB023C"/>
    <w:rsid w:val="00FB0D91"/>
    <w:rsid w:val="00FB2BF9"/>
    <w:rsid w:val="00FB2F9D"/>
    <w:rsid w:val="00FB3927"/>
    <w:rsid w:val="00FB3B7C"/>
    <w:rsid w:val="00FB79C4"/>
    <w:rsid w:val="00FC07F0"/>
    <w:rsid w:val="00FC11CA"/>
    <w:rsid w:val="00FC7BCF"/>
    <w:rsid w:val="00FD5D3C"/>
    <w:rsid w:val="00FE48E7"/>
    <w:rsid w:val="00FE5779"/>
    <w:rsid w:val="00FF1EA1"/>
    <w:rsid w:val="00FF3BB7"/>
    <w:rsid w:val="788231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页眉 Char"/>
    <w:basedOn w:val="9"/>
    <w:link w:val="5"/>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日期 Char"/>
    <w:basedOn w:val="9"/>
    <w:link w:val="2"/>
    <w:semiHidden/>
    <w:qFormat/>
    <w:uiPriority w:val="99"/>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84585-014B-4652-8CA2-7960088F6C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863</Words>
  <Characters>4921</Characters>
  <Lines>41</Lines>
  <Paragraphs>11</Paragraphs>
  <TotalTime>2069</TotalTime>
  <ScaleCrop>false</ScaleCrop>
  <LinksUpToDate>false</LinksUpToDate>
  <CharactersWithSpaces>5773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2017-11-08T03:12:00Z</dcterms:created>
  <dc:creator>微软用户</dc:creator>
  <cp:lastModifiedBy>tsq太神奇那</cp:lastModifiedBy>
  <cp:lastPrinted>2020-11-11T00:28:00Z</cp:lastPrinted>
  <dcterms:modified xsi:type="dcterms:W3CDTF">2025-02-25T02:31:47Z</dcterms:modified>
  <cp:revision>579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