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常宁市大义山自然保护区管理局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2020年度预算支出绩效评价报告</w:t>
      </w:r>
    </w:p>
    <w:p>
      <w:pPr>
        <w:shd w:val="solid" w:color="FFFFFF" w:fill="auto"/>
        <w:autoSpaceDN w:val="0"/>
        <w:ind w:firstLine="640" w:firstLineChars="200"/>
        <w:rPr>
          <w:rFonts w:asciiTheme="minorEastAsia" w:hAnsiTheme="minorEastAsia"/>
          <w:bCs/>
          <w:color w:val="383838"/>
          <w:sz w:val="32"/>
          <w:shd w:val="clear" w:color="auto" w:fill="FFFFFF"/>
        </w:rPr>
      </w:pPr>
    </w:p>
    <w:p>
      <w:pPr>
        <w:shd w:val="solid" w:color="FFFFFF" w:fill="auto"/>
        <w:autoSpaceDN w:val="0"/>
        <w:ind w:firstLine="640" w:firstLineChars="200"/>
        <w:rPr>
          <w:rFonts w:asciiTheme="minorEastAsia" w:hAnsiTheme="minorEastAsia"/>
          <w:bCs/>
          <w:color w:val="383838"/>
          <w:sz w:val="32"/>
          <w:shd w:val="clear" w:color="auto" w:fill="FFFFFF"/>
        </w:rPr>
      </w:pPr>
      <w:r>
        <w:rPr>
          <w:rFonts w:hint="eastAsia" w:asciiTheme="minorEastAsia" w:hAnsiTheme="minorEastAsia"/>
          <w:bCs/>
          <w:color w:val="383838"/>
          <w:sz w:val="32"/>
          <w:shd w:val="clear" w:color="auto" w:fill="FFFFFF"/>
        </w:rPr>
        <w:t>为了进一步规范财政资金管理，切实提高财政资金使用效益，根据市财政局《关于项目支出和部门整体支出绩效评价的通知》（常财绩[2021]54号文件）要求，现将常宁市大义山自然保护区管理局2020年度财政资金绩效评价工作有关情况报告如下：</w:t>
      </w:r>
    </w:p>
    <w:p>
      <w:pPr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一、常宁市大义山自然保护区管理局基本概况</w:t>
      </w:r>
    </w:p>
    <w:p>
      <w:pPr>
        <w:widowControl/>
        <w:shd w:val="clear" w:color="auto" w:fill="FFFFFF"/>
        <w:spacing w:line="384" w:lineRule="atLeast"/>
        <w:ind w:firstLine="643" w:firstLineChars="200"/>
        <w:jc w:val="left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主要职责：</w:t>
      </w:r>
    </w:p>
    <w:p>
      <w:pPr>
        <w:widowControl/>
        <w:shd w:val="clear" w:color="auto" w:fill="FFFFFF"/>
        <w:spacing w:line="384" w:lineRule="atLeast"/>
        <w:ind w:firstLine="480" w:firstLineChars="15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宋体" w:hAnsi="宋体" w:cs="仿宋"/>
          <w:bCs/>
          <w:sz w:val="32"/>
          <w:szCs w:val="32"/>
        </w:rPr>
        <w:t>（一）</w:t>
      </w:r>
      <w:r>
        <w:rPr>
          <w:rFonts w:hint="eastAsia" w:ascii="Arial" w:hAnsi="Arial" w:cs="Arial"/>
          <w:color w:val="333333"/>
          <w:kern w:val="0"/>
          <w:sz w:val="32"/>
          <w:szCs w:val="32"/>
        </w:rPr>
        <w:t>宣传贯彻执行国 家、省有关林业、自然保护区的管理法律、法规和方针政策；</w:t>
      </w:r>
    </w:p>
    <w:p>
      <w:pPr>
        <w:widowControl/>
        <w:adjustRightInd w:val="0"/>
        <w:snapToGrid w:val="0"/>
        <w:spacing w:line="560" w:lineRule="exact"/>
        <w:ind w:firstLine="480" w:firstLineChars="150"/>
        <w:jc w:val="left"/>
        <w:rPr>
          <w:rFonts w:ascii="宋体" w:hAnsi="宋体" w:cs="仿宋"/>
          <w:bCs/>
          <w:sz w:val="32"/>
          <w:szCs w:val="32"/>
        </w:rPr>
      </w:pPr>
      <w:r>
        <w:rPr>
          <w:rFonts w:hint="eastAsia" w:ascii="宋体" w:hAnsi="宋体" w:cs="仿宋"/>
          <w:bCs/>
          <w:sz w:val="32"/>
          <w:szCs w:val="32"/>
        </w:rPr>
        <w:t>（二）</w:t>
      </w:r>
      <w:r>
        <w:rPr>
          <w:rFonts w:hint="eastAsia" w:ascii="Arial" w:hAnsi="Arial" w:cs="Arial"/>
          <w:color w:val="333333"/>
          <w:kern w:val="0"/>
          <w:sz w:val="32"/>
          <w:szCs w:val="32"/>
        </w:rPr>
        <w:t>负责保护区的综合管理工作；</w:t>
      </w:r>
    </w:p>
    <w:p>
      <w:pPr>
        <w:widowControl/>
        <w:shd w:val="clear" w:color="auto" w:fill="FFFFFF"/>
        <w:spacing w:line="384" w:lineRule="atLeast"/>
        <w:ind w:firstLine="480" w:firstLineChars="15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宋体" w:hAnsi="宋体" w:cs="仿宋"/>
          <w:bCs/>
          <w:sz w:val="32"/>
          <w:szCs w:val="32"/>
        </w:rPr>
        <w:t>（三）</w:t>
      </w:r>
      <w:r>
        <w:rPr>
          <w:rFonts w:hint="eastAsia" w:ascii="Arial" w:hAnsi="Arial" w:cs="Arial"/>
          <w:color w:val="333333"/>
          <w:kern w:val="0"/>
          <w:sz w:val="32"/>
          <w:szCs w:val="32"/>
        </w:rPr>
        <w:t>负责制定关于实施大义山自然保护区的建设保护规划；负责保护森林资源和生物多样性；负责普及生态文化知识；</w:t>
      </w:r>
    </w:p>
    <w:p>
      <w:pPr>
        <w:widowControl/>
        <w:shd w:val="clear" w:color="auto" w:fill="FFFFFF"/>
        <w:spacing w:line="384" w:lineRule="atLeast"/>
        <w:ind w:firstLine="480" w:firstLineChars="15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Arial" w:hAnsi="Arial" w:cs="Arial"/>
          <w:color w:val="333333"/>
          <w:kern w:val="0"/>
          <w:sz w:val="32"/>
          <w:szCs w:val="32"/>
        </w:rPr>
        <w:t>（四）负责组织野生动植物保护管理，组织自然资源的调查，并做好监测、保护、救护和科研等工作；</w:t>
      </w:r>
    </w:p>
    <w:p>
      <w:pPr>
        <w:widowControl/>
        <w:shd w:val="clear" w:color="auto" w:fill="FFFFFF"/>
        <w:spacing w:line="384" w:lineRule="atLeast"/>
        <w:ind w:firstLine="480" w:firstLineChars="15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Arial" w:hAnsi="Arial" w:cs="Arial"/>
          <w:color w:val="333333"/>
          <w:kern w:val="0"/>
          <w:sz w:val="32"/>
          <w:szCs w:val="32"/>
        </w:rPr>
        <w:t>（五）承担保护区内有益的或有重要经济、科学研究价值的野生动植物资源保护管理工作；</w:t>
      </w:r>
    </w:p>
    <w:p>
      <w:pPr>
        <w:widowControl/>
        <w:shd w:val="clear" w:color="auto" w:fill="FFFFFF"/>
        <w:spacing w:line="384" w:lineRule="atLeast"/>
        <w:ind w:firstLine="480" w:firstLineChars="150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hint="eastAsia" w:ascii="Arial" w:hAnsi="Arial" w:cs="Arial"/>
          <w:color w:val="333333"/>
          <w:kern w:val="0"/>
          <w:sz w:val="32"/>
          <w:szCs w:val="32"/>
        </w:rPr>
        <w:t>（六）完成上级交办的其他工作任务。</w:t>
      </w:r>
    </w:p>
    <w:p>
      <w:pPr>
        <w:pStyle w:val="9"/>
        <w:ind w:left="420" w:firstLine="161" w:firstLineChars="5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内设机构</w:t>
      </w:r>
    </w:p>
    <w:p>
      <w:pPr>
        <w:pStyle w:val="5"/>
        <w:spacing w:beforeAutospacing="0" w:afterAutospacing="0" w:line="360" w:lineRule="auto"/>
        <w:ind w:firstLine="640" w:firstLineChars="200"/>
        <w:rPr>
          <w:sz w:val="32"/>
          <w:szCs w:val="32"/>
        </w:rPr>
      </w:pPr>
      <w:r>
        <w:rPr>
          <w:rFonts w:hint="eastAsia" w:cs="仿宋"/>
          <w:bCs/>
          <w:sz w:val="32"/>
          <w:szCs w:val="32"/>
        </w:rPr>
        <w:t>常宁市大义山自然保护区管理局内设机构包括：</w:t>
      </w:r>
      <w:r>
        <w:rPr>
          <w:rFonts w:hint="eastAsia" w:cs="Arial"/>
          <w:color w:val="333333"/>
          <w:sz w:val="32"/>
          <w:szCs w:val="32"/>
        </w:rPr>
        <w:t>办公室、保护管理股、生产经营股、科研宣传股、社区事务股</w:t>
      </w:r>
      <w:r>
        <w:rPr>
          <w:rFonts w:hint="eastAsia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部门整体预算及执行、管理情况</w:t>
      </w:r>
    </w:p>
    <w:p>
      <w:pPr>
        <w:pStyle w:val="9"/>
        <w:ind w:left="420" w:firstLine="0" w:firstLineChars="0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（一）部门预算情况</w:t>
      </w:r>
    </w:p>
    <w:p>
      <w:pPr>
        <w:ind w:firstLine="447" w:firstLineChars="139"/>
        <w:rPr>
          <w:rFonts w:asciiTheme="minorEastAsia" w:hAnsiTheme="minorEastAsia"/>
          <w:b/>
          <w:color w:val="666666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666666"/>
          <w:sz w:val="32"/>
          <w:szCs w:val="32"/>
          <w:shd w:val="clear" w:color="auto" w:fill="FFFFFF"/>
        </w:rPr>
        <w:t>1.部门预算收入</w:t>
      </w:r>
    </w:p>
    <w:p>
      <w:pPr>
        <w:pStyle w:val="5"/>
        <w:spacing w:beforeAutospacing="0" w:afterAutospacing="0" w:line="360" w:lineRule="auto"/>
        <w:ind w:firstLine="480"/>
        <w:rPr>
          <w:sz w:val="32"/>
          <w:szCs w:val="32"/>
        </w:rPr>
      </w:pPr>
      <w:r>
        <w:rPr>
          <w:rFonts w:hint="eastAsia" w:ascii="微软雅黑" w:hAnsi="微软雅黑" w:eastAsia="微软雅黑"/>
          <w:color w:val="666666"/>
          <w:sz w:val="32"/>
          <w:szCs w:val="32"/>
        </w:rPr>
        <w:t xml:space="preserve">　 </w:t>
      </w:r>
      <w:r>
        <w:rPr>
          <w:rFonts w:hint="eastAsia"/>
          <w:sz w:val="32"/>
          <w:szCs w:val="32"/>
        </w:rPr>
        <w:t>2020年年初部门收入预算数116.22万元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一般公共预算拨款90.22万元，占总收入比重的78%，上级专款26万，占总收入的22%。无纳入预算管理的非税收入及政府性基金预算拨款。</w:t>
      </w:r>
    </w:p>
    <w:p>
      <w:pPr>
        <w:pStyle w:val="5"/>
        <w:spacing w:beforeAutospacing="0" w:afterAutospacing="0" w:line="360" w:lineRule="auto"/>
        <w:ind w:firstLine="48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2.部门预算支出</w:t>
      </w:r>
    </w:p>
    <w:p>
      <w:pPr>
        <w:pStyle w:val="5"/>
        <w:spacing w:beforeAutospacing="0" w:afterAutospacing="0"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2020年年初部门支出预算数116.22万元，农林水支出116.22万元。其中基本支出90.22万元，项目支出26万元。</w:t>
      </w:r>
      <w:r>
        <w:rPr>
          <w:sz w:val="32"/>
          <w:szCs w:val="32"/>
        </w:rPr>
        <w:t>具体情况如下：</w:t>
      </w:r>
    </w:p>
    <w:p>
      <w:pPr>
        <w:pStyle w:val="5"/>
        <w:spacing w:beforeAutospacing="0" w:afterAutospacing="0" w:line="360" w:lineRule="auto"/>
        <w:ind w:firstLine="643" w:firstLineChars="200"/>
        <w:rPr>
          <w:sz w:val="32"/>
          <w:szCs w:val="32"/>
        </w:rPr>
      </w:pPr>
      <w:r>
        <w:rPr>
          <w:b/>
          <w:bCs/>
          <w:sz w:val="32"/>
          <w:szCs w:val="32"/>
        </w:rPr>
        <w:t>（一）基本支出</w:t>
      </w:r>
      <w:r>
        <w:rPr>
          <w:sz w:val="32"/>
          <w:szCs w:val="32"/>
        </w:rPr>
        <w:t>：20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年年初预算数为</w:t>
      </w:r>
      <w:r>
        <w:rPr>
          <w:rFonts w:hint="eastAsia"/>
          <w:sz w:val="32"/>
          <w:szCs w:val="32"/>
        </w:rPr>
        <w:t>116.22</w:t>
      </w:r>
      <w:r>
        <w:rPr>
          <w:sz w:val="32"/>
          <w:szCs w:val="32"/>
        </w:rPr>
        <w:t>万元，占总支出的比重为</w:t>
      </w:r>
      <w:r>
        <w:rPr>
          <w:rFonts w:hint="eastAsia"/>
          <w:sz w:val="32"/>
          <w:szCs w:val="32"/>
        </w:rPr>
        <w:t>78</w:t>
      </w:r>
      <w:r>
        <w:rPr>
          <w:sz w:val="32"/>
          <w:szCs w:val="32"/>
        </w:rPr>
        <w:t>%；其中，人员经费</w:t>
      </w:r>
      <w:r>
        <w:rPr>
          <w:rFonts w:hint="eastAsia"/>
          <w:sz w:val="32"/>
          <w:szCs w:val="32"/>
        </w:rPr>
        <w:t>81.46</w:t>
      </w:r>
      <w:r>
        <w:rPr>
          <w:sz w:val="32"/>
          <w:szCs w:val="32"/>
        </w:rPr>
        <w:t>万元，</w:t>
      </w:r>
      <w:r>
        <w:rPr>
          <w:rFonts w:hint="eastAsia"/>
          <w:sz w:val="32"/>
          <w:szCs w:val="32"/>
        </w:rPr>
        <w:t>商品和服务支出8.76</w:t>
      </w:r>
      <w:r>
        <w:rPr>
          <w:sz w:val="32"/>
          <w:szCs w:val="32"/>
        </w:rPr>
        <w:t>万元</w:t>
      </w:r>
      <w:r>
        <w:rPr>
          <w:rFonts w:hint="eastAsia"/>
          <w:sz w:val="32"/>
          <w:szCs w:val="32"/>
        </w:rPr>
        <w:t>。</w:t>
      </w:r>
    </w:p>
    <w:p>
      <w:pPr>
        <w:pStyle w:val="5"/>
        <w:spacing w:beforeAutospacing="0" w:afterAutospacing="0" w:line="360" w:lineRule="auto"/>
        <w:ind w:firstLine="643" w:firstLineChars="200"/>
        <w:rPr>
          <w:sz w:val="32"/>
          <w:szCs w:val="32"/>
        </w:rPr>
      </w:pPr>
      <w:r>
        <w:rPr>
          <w:b/>
          <w:bCs/>
          <w:sz w:val="32"/>
          <w:szCs w:val="32"/>
        </w:rPr>
        <w:t>（二）项目支出</w:t>
      </w:r>
      <w:r>
        <w:rPr>
          <w:sz w:val="32"/>
          <w:szCs w:val="32"/>
        </w:rPr>
        <w:t>：20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年年初预算数为</w:t>
      </w:r>
      <w:r>
        <w:rPr>
          <w:rFonts w:hint="eastAsia"/>
          <w:sz w:val="32"/>
          <w:szCs w:val="32"/>
        </w:rPr>
        <w:t>26</w:t>
      </w:r>
      <w:r>
        <w:rPr>
          <w:sz w:val="32"/>
          <w:szCs w:val="32"/>
        </w:rPr>
        <w:t>万元，是</w:t>
      </w:r>
      <w:r>
        <w:rPr>
          <w:rFonts w:hint="eastAsia"/>
          <w:sz w:val="32"/>
          <w:szCs w:val="32"/>
        </w:rPr>
        <w:t>指我单位</w:t>
      </w:r>
      <w:r>
        <w:rPr>
          <w:sz w:val="32"/>
          <w:szCs w:val="32"/>
        </w:rPr>
        <w:t>为完成财政财务管理工作或事业发展目标而发生的支出。主要包括</w:t>
      </w:r>
      <w:r>
        <w:rPr>
          <w:rFonts w:hint="eastAsia"/>
          <w:sz w:val="32"/>
          <w:szCs w:val="32"/>
        </w:rPr>
        <w:t>：文物古迹保护6万元，自然资源管理与保护11万元，自然资源调查与推广宣传9万元。</w:t>
      </w:r>
    </w:p>
    <w:p>
      <w:pPr>
        <w:pStyle w:val="5"/>
        <w:spacing w:beforeAutospacing="0" w:afterAutospacing="0" w:line="360" w:lineRule="auto"/>
        <w:ind w:firstLine="48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（二）部门预算执行情况</w:t>
      </w:r>
    </w:p>
    <w:p>
      <w:pPr>
        <w:pStyle w:val="5"/>
        <w:spacing w:beforeAutospacing="0" w:afterAutospacing="0" w:line="360" w:lineRule="auto"/>
        <w:ind w:firstLine="482" w:firstLineChars="1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1.部门实际收入</w:t>
      </w:r>
    </w:p>
    <w:p>
      <w:pPr>
        <w:pStyle w:val="5"/>
        <w:spacing w:beforeAutospacing="0" w:afterAutospacing="0" w:line="360" w:lineRule="auto"/>
        <w:ind w:firstLine="800" w:firstLineChars="250"/>
        <w:rPr>
          <w:b/>
          <w:sz w:val="32"/>
          <w:szCs w:val="32"/>
        </w:rPr>
      </w:pPr>
      <w:r>
        <w:rPr>
          <w:rFonts w:hint="eastAsia" w:cs="仿宋"/>
          <w:bCs/>
          <w:kern w:val="2"/>
          <w:sz w:val="32"/>
          <w:szCs w:val="32"/>
        </w:rPr>
        <w:t>2020年收入合计656万元，按收入性质分：财政拨款收入647.32万元，占98.5%其他收入8.68万元占1.5%。</w:t>
      </w:r>
    </w:p>
    <w:p>
      <w:pPr>
        <w:pStyle w:val="12"/>
        <w:spacing w:line="560" w:lineRule="exact"/>
        <w:ind w:firstLine="321" w:firstLineChars="100"/>
        <w:rPr>
          <w:rFonts w:ascii="宋体" w:hAnsi="宋体" w:eastAsia="宋体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z w:val="32"/>
          <w:szCs w:val="32"/>
        </w:rPr>
        <w:t>2.部门实际支出</w:t>
      </w:r>
    </w:p>
    <w:p>
      <w:pPr>
        <w:pStyle w:val="12"/>
        <w:spacing w:line="560" w:lineRule="exact"/>
        <w:ind w:firstLine="640" w:firstLineChars="20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2020年支出合计656万元，按支出的性质分：基本支104.18出万元，占15.9%；项目支出551.82万元，占84.1%。</w:t>
      </w:r>
    </w:p>
    <w:p>
      <w:pPr>
        <w:ind w:firstLine="480" w:firstLineChars="150"/>
        <w:jc w:val="left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bCs/>
          <w:sz w:val="32"/>
          <w:szCs w:val="32"/>
        </w:rPr>
        <w:t>2020年度项目支出资金共计551.82万元，按功能分，包括一般行政管理事务3.36万元，自然保护区管理等31.78万元，动植物保护费8万元，节能环保支出500万元，其他支出8.68万元</w:t>
      </w:r>
    </w:p>
    <w:p>
      <w:pPr>
        <w:spacing w:line="540" w:lineRule="exact"/>
        <w:ind w:firstLine="482" w:firstLineChars="15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（三）项目绩效目标。</w:t>
      </w:r>
    </w:p>
    <w:p>
      <w:pPr>
        <w:pStyle w:val="12"/>
        <w:spacing w:line="560" w:lineRule="exact"/>
        <w:ind w:firstLine="800" w:firstLineChars="25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全面加强自然资源保护，在保护区进行大规模宣传活动及日常巡护工作，开展受损生态系统修复，</w:t>
      </w: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保护生物多样性，保护濒临灭绝的野生动植物，保持生态平衡，促进人与自然和谐共生，建设美好的人居环境，促进生态文明建设，打造更美的新常宁。</w:t>
      </w:r>
    </w:p>
    <w:p>
      <w:pPr>
        <w:pStyle w:val="12"/>
        <w:spacing w:line="560" w:lineRule="exact"/>
        <w:rPr>
          <w:rFonts w:ascii="宋体" w:hAnsi="宋体" w:eastAsia="宋体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z w:val="32"/>
          <w:szCs w:val="32"/>
        </w:rPr>
        <w:t>四、部门整体支出绩效情况</w:t>
      </w:r>
    </w:p>
    <w:p>
      <w:pPr>
        <w:pStyle w:val="12"/>
        <w:spacing w:line="560" w:lineRule="exact"/>
        <w:ind w:firstLine="320" w:firstLineChars="10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（一）项目绩效总目标完成情况及社会效益如下：</w:t>
      </w:r>
    </w:p>
    <w:p>
      <w:pPr>
        <w:pStyle w:val="12"/>
        <w:spacing w:line="560" w:lineRule="exact"/>
        <w:ind w:firstLine="320" w:firstLineChars="10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1.</w:t>
      </w:r>
      <w:r>
        <w:rPr>
          <w:rFonts w:hint="eastAsia" w:ascii="宋体" w:hAnsi="宋体" w:eastAsia="宋体"/>
          <w:bCs/>
          <w:color w:val="383838"/>
          <w:sz w:val="32"/>
          <w:shd w:val="clear" w:color="auto" w:fill="FFFFFF"/>
        </w:rPr>
        <w:t xml:space="preserve"> 时效目标</w:t>
      </w:r>
    </w:p>
    <w:p>
      <w:pPr>
        <w:spacing w:line="600" w:lineRule="exact"/>
        <w:ind w:firstLine="640" w:firstLineChars="200"/>
        <w:outlineLvl w:val="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我局20</w:t>
      </w:r>
      <w:r>
        <w:rPr>
          <w:rFonts w:hint="eastAsia"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 w:cs="Times New Roman"/>
          <w:sz w:val="32"/>
          <w:szCs w:val="32"/>
        </w:rPr>
        <w:t>年度项目已全部完成，完工率100%，</w:t>
      </w:r>
      <w:r>
        <w:rPr>
          <w:rFonts w:hint="eastAsia" w:ascii="宋体" w:hAnsi="宋体" w:eastAsia="宋体"/>
          <w:sz w:val="32"/>
          <w:szCs w:val="32"/>
        </w:rPr>
        <w:t>资金</w:t>
      </w:r>
      <w:r>
        <w:rPr>
          <w:rFonts w:hint="eastAsia" w:ascii="宋体" w:hAnsi="宋体" w:eastAsia="宋体" w:cs="Times New Roman"/>
          <w:sz w:val="32"/>
          <w:szCs w:val="32"/>
        </w:rPr>
        <w:t>全部拨付到位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bCs/>
          <w:color w:val="383838"/>
          <w:sz w:val="32"/>
          <w:shd w:val="clear" w:color="auto" w:fill="FFFFFF"/>
        </w:rPr>
        <w:t>已达到绩效目标,完成了全年工作任务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。</w:t>
      </w:r>
    </w:p>
    <w:p>
      <w:pPr>
        <w:pStyle w:val="12"/>
        <w:spacing w:line="560" w:lineRule="exact"/>
        <w:ind w:firstLine="320" w:firstLineChars="10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2.社会效益</w:t>
      </w:r>
    </w:p>
    <w:p>
      <w:pPr>
        <w:ind w:firstLine="640" w:firstLineChars="200"/>
        <w:rPr>
          <w:rFonts w:cs="楷体" w:asciiTheme="minorEastAsia" w:hAnsiTheme="minorEastAsia"/>
          <w:b/>
          <w:color w:val="333333"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1）.</w:t>
      </w:r>
      <w:r>
        <w:rPr>
          <w:rFonts w:hint="eastAsia" w:cs="楷体" w:asciiTheme="minorEastAsia" w:hAnsiTheme="minorEastAsia"/>
          <w:b/>
          <w:color w:val="333333"/>
          <w:sz w:val="32"/>
          <w:szCs w:val="32"/>
        </w:rPr>
        <w:t xml:space="preserve"> 抓宣传推广，促进生态文明建设。</w:t>
      </w:r>
    </w:p>
    <w:p>
      <w:pPr>
        <w:ind w:firstLine="640" w:firstLineChars="20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/>
          <w:color w:val="333333"/>
          <w:sz w:val="32"/>
          <w:szCs w:val="32"/>
        </w:rPr>
        <w:t>通过宣传促进了大家对保护区的了解，营造了良好的生态环境保护氛围。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有效保护常宁市大义山自然保护区内古树、古迹，打造森林旅游文化景点，开展植物科普常识教育。</w:t>
      </w:r>
    </w:p>
    <w:p>
      <w:pPr>
        <w:ind w:firstLine="640" w:firstLineChars="20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bCs/>
          <w:sz w:val="32"/>
          <w:szCs w:val="32"/>
        </w:rPr>
        <w:t>2）.</w:t>
      </w:r>
      <w:r>
        <w:rPr>
          <w:rFonts w:hint="eastAsia" w:cs="楷体" w:asciiTheme="minorEastAsia" w:hAnsiTheme="minorEastAsia"/>
          <w:b/>
          <w:color w:val="333333"/>
          <w:sz w:val="32"/>
          <w:szCs w:val="32"/>
        </w:rPr>
        <w:t>抓巡护管理，促进巡护管理工作常态化。</w:t>
      </w:r>
      <w:r>
        <w:rPr>
          <w:rFonts w:hint="eastAsia" w:cs="仿宋" w:asciiTheme="minorEastAsia" w:hAnsiTheme="minorEastAsia"/>
          <w:sz w:val="32"/>
          <w:szCs w:val="32"/>
        </w:rPr>
        <w:t>加强与辖区乡镇政府沟通协调，确立了巡护管理日常化，坚决杜决保护区乱砍</w:t>
      </w:r>
      <w:r>
        <w:rPr>
          <w:rFonts w:hint="eastAsia" w:cs="仿宋" w:asciiTheme="minorEastAsia" w:hAnsiTheme="minorEastAsia"/>
          <w:color w:val="333333"/>
          <w:sz w:val="32"/>
          <w:szCs w:val="32"/>
        </w:rPr>
        <w:t>滥伐、乱挖滥采、乱捕滥猎等现象发生</w:t>
      </w:r>
      <w:r>
        <w:rPr>
          <w:rFonts w:hint="eastAsia" w:cs="仿宋" w:asciiTheme="minorEastAsia" w:hAnsiTheme="minorEastAsia"/>
          <w:sz w:val="32"/>
          <w:szCs w:val="32"/>
        </w:rPr>
        <w:t>，确保了自然保护区生态系统的安全。</w:t>
      </w:r>
    </w:p>
    <w:p>
      <w:pPr>
        <w:spacing w:line="600" w:lineRule="exact"/>
        <w:ind w:firstLine="540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3）.</w:t>
      </w:r>
      <w:r>
        <w:rPr>
          <w:rFonts w:hint="eastAsia" w:cs="仿宋" w:asciiTheme="minorEastAsia" w:hAnsiTheme="minorEastAsia"/>
          <w:b/>
          <w:color w:val="333333"/>
          <w:sz w:val="32"/>
          <w:szCs w:val="32"/>
        </w:rPr>
        <w:t xml:space="preserve"> 抓好生态修复。</w:t>
      </w:r>
      <w:r>
        <w:rPr>
          <w:rFonts w:hint="eastAsia" w:cs="仿宋" w:asciiTheme="minorEastAsia" w:hAnsiTheme="minorEastAsia"/>
          <w:sz w:val="32"/>
          <w:szCs w:val="32"/>
        </w:rPr>
        <w:t>开展受损生态系统修复和老矿场、老砂场的复绿工作，逐步恢复森林系统完整性和生物多样性。</w:t>
      </w:r>
    </w:p>
    <w:p>
      <w:pPr>
        <w:pStyle w:val="12"/>
        <w:spacing w:line="560" w:lineRule="exact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</w:p>
    <w:p>
      <w:pPr>
        <w:pStyle w:val="12"/>
        <w:spacing w:line="560" w:lineRule="exact"/>
        <w:ind w:firstLine="480" w:firstLineChars="15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（二）绩效评价的目的</w:t>
      </w:r>
    </w:p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1）.绩效评价是部门财政预算管理的重要组成部分，通过开展绩效评价工作，将绩效评价的结果作为预算支出的重要依据，及时发现项目实施过程中存在的问题并反馈与整改，以确保更好的实施，</w:t>
      </w:r>
      <w:r>
        <w:rPr>
          <w:rFonts w:hint="eastAsia" w:ascii="宋体" w:hAnsi="宋体" w:eastAsia="宋体" w:cs="Times New Roman"/>
          <w:sz w:val="32"/>
          <w:szCs w:val="32"/>
        </w:rPr>
        <w:t>达到项目建设预期目标</w:t>
      </w:r>
      <w:r>
        <w:rPr>
          <w:rFonts w:hint="eastAsia" w:ascii="宋体" w:hAnsi="宋体" w:eastAsia="宋体"/>
          <w:sz w:val="32"/>
          <w:szCs w:val="32"/>
        </w:rPr>
        <w:t>。确保</w:t>
      </w:r>
      <w:r>
        <w:rPr>
          <w:rFonts w:hint="eastAsia" w:ascii="宋体" w:hAnsi="宋体" w:eastAsia="宋体" w:cs="Times New Roman"/>
          <w:sz w:val="32"/>
          <w:szCs w:val="32"/>
        </w:rPr>
        <w:t>项目</w:t>
      </w:r>
      <w:r>
        <w:rPr>
          <w:rFonts w:ascii="宋体" w:hAnsi="宋体" w:eastAsia="宋体" w:cs="Times New Roman"/>
          <w:sz w:val="32"/>
          <w:szCs w:val="32"/>
        </w:rPr>
        <w:t>管理机制</w:t>
      </w:r>
      <w:r>
        <w:rPr>
          <w:rFonts w:hint="eastAsia" w:ascii="宋体" w:hAnsi="宋体" w:eastAsia="宋体"/>
          <w:sz w:val="32"/>
          <w:szCs w:val="32"/>
        </w:rPr>
        <w:t>更加完善；</w:t>
      </w:r>
    </w:p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2）.</w:t>
      </w:r>
      <w:r>
        <w:rPr>
          <w:rFonts w:hint="eastAsia" w:ascii="宋体" w:hAnsi="宋体" w:eastAsia="宋体" w:cs="Times New Roman"/>
          <w:sz w:val="32"/>
          <w:szCs w:val="32"/>
        </w:rPr>
        <w:t>从财政角度对资金支持对象的实际产出和效益进行评价，改进预算决策和管理水平，提高资金使用效益；</w:t>
      </w:r>
    </w:p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3）.通过部门整体支出绩效评价，</w:t>
      </w:r>
      <w:r>
        <w:rPr>
          <w:rFonts w:hint="eastAsia" w:ascii="宋体" w:hAnsi="宋体" w:eastAsia="宋体" w:cs="Times New Roman"/>
          <w:sz w:val="32"/>
          <w:szCs w:val="32"/>
        </w:rPr>
        <w:t>促进部门从整体上提升预算绩效管理水平，科学编制预算，强化部门支出责任，规范资金管理行为，提升资金管理水平，保障部门更好地履行职责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pStyle w:val="12"/>
        <w:spacing w:line="560" w:lineRule="exact"/>
        <w:ind w:firstLine="640" w:firstLineChars="20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4）.</w:t>
      </w:r>
      <w:r>
        <w:rPr>
          <w:rFonts w:hint="eastAsia" w:ascii="宋体" w:hAnsi="宋体" w:eastAsia="宋体" w:cs="仿宋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促进预算绩效管理工作制度化、规范化、科学化，全面落实新增资产配置管理，严格按照中央八项规定精神，严格控制经费开支，切实贯彻落实厉行节约各项工作任务，进一步建立健全党风廉政建设责任制度、财务审核制度、加班用餐审批制度、公务接待管理制度、资产管理制度，公务用车管理制度、下乡日常巡查管护工作制度等，实现以制度管人，按制度办事，确保了机关日常运转制度化、规范化。通过加强预算收支管理，梳理内部管理流程，进一步增强支出责任和效率意识，提升预算绩效管理水平和能力，加快全过程预算绩效管理体系的建设。</w:t>
      </w:r>
    </w:p>
    <w:p>
      <w:pPr>
        <w:spacing w:line="600" w:lineRule="exact"/>
        <w:ind w:firstLine="420" w:firstLineChars="200"/>
        <w:rPr>
          <w:rFonts w:ascii="宋体" w:hAnsi="宋体" w:eastAsia="宋体" w:cs="宋体"/>
          <w:szCs w:val="30"/>
        </w:rPr>
      </w:pPr>
    </w:p>
    <w:p>
      <w:pPr>
        <w:pStyle w:val="12"/>
        <w:spacing w:line="560" w:lineRule="exact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五、存在的问题及原因分析</w:t>
      </w:r>
    </w:p>
    <w:p>
      <w:pPr>
        <w:pStyle w:val="12"/>
        <w:spacing w:line="560" w:lineRule="exact"/>
        <w:ind w:firstLine="480" w:firstLineChars="15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结合2020年绩效评价工作，我局尚存在对绩效评价工作认识不够深入和彻底的问题</w:t>
      </w:r>
    </w:p>
    <w:p>
      <w:pPr>
        <w:pStyle w:val="12"/>
        <w:numPr>
          <w:ilvl w:val="0"/>
          <w:numId w:val="2"/>
        </w:numPr>
        <w:spacing w:line="560" w:lineRule="exact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预算的编制工作有待细化，预算编制不够明确和细化，预算编制的合理性需要提高，预算的执行力度还要进一步加强。</w:t>
      </w:r>
    </w:p>
    <w:p>
      <w:pPr>
        <w:pStyle w:val="12"/>
        <w:numPr>
          <w:ilvl w:val="0"/>
          <w:numId w:val="2"/>
        </w:numPr>
        <w:spacing w:line="560" w:lineRule="exact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付款跟不上年度预算支出计划的进度，造成支付进度率指标评价总体较低。</w:t>
      </w:r>
    </w:p>
    <w:p/>
    <w:p>
      <w:pPr>
        <w:pStyle w:val="12"/>
        <w:spacing w:line="560" w:lineRule="exact"/>
        <w:ind w:left="320" w:firstLine="160" w:firstLineChars="50"/>
        <w:rPr>
          <w:rFonts w:ascii="宋体" w:hAnsi="宋体" w:eastAsia="宋体" w:cs="仿宋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仿宋"/>
          <w:bCs/>
          <w:color w:val="auto"/>
          <w:kern w:val="2"/>
          <w:sz w:val="32"/>
          <w:szCs w:val="32"/>
        </w:rPr>
        <w:t>针对存在的绩效问题，在下一步工作中，一是根据项目实施进展情况，科学做好年度预算编制工作，并在实施过程中督促加快支付进度；二是制订更为详细的年度预算支出计划，并督促按计划严格执行，确保各季度支出数达到相对均衡；三是对发现的问题及时和积极的沟通、汇报和整改，切实提高资金使用效益。加强资金的管理，严格按规定办理资金结算，确保专款专用。</w:t>
      </w:r>
    </w:p>
    <w:p>
      <w:pPr>
        <w:pStyle w:val="9"/>
        <w:ind w:left="420" w:firstLine="0" w:firstLineChars="0"/>
        <w:rPr>
          <w:sz w:val="32"/>
          <w:szCs w:val="32"/>
        </w:rPr>
      </w:pPr>
    </w:p>
    <w:p>
      <w:pPr>
        <w:pStyle w:val="9"/>
        <w:ind w:left="420" w:firstLine="3200" w:firstLineChars="1000"/>
        <w:rPr>
          <w:sz w:val="32"/>
          <w:szCs w:val="32"/>
        </w:rPr>
      </w:pPr>
    </w:p>
    <w:p>
      <w:pPr>
        <w:pStyle w:val="9"/>
        <w:ind w:left="420" w:firstLine="3200" w:firstLineChars="1000"/>
        <w:rPr>
          <w:sz w:val="32"/>
          <w:szCs w:val="32"/>
        </w:rPr>
      </w:pPr>
    </w:p>
    <w:p>
      <w:pPr>
        <w:pStyle w:val="9"/>
        <w:ind w:left="420"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常宁市大义山自然保护区管理局</w:t>
      </w:r>
    </w:p>
    <w:p>
      <w:pPr>
        <w:pStyle w:val="9"/>
        <w:ind w:left="420" w:firstLine="3200" w:firstLineChars="1000"/>
        <w:rPr>
          <w:sz w:val="32"/>
          <w:szCs w:val="32"/>
        </w:rPr>
      </w:pP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2021年10月 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2AB"/>
    <w:multiLevelType w:val="multilevel"/>
    <w:tmpl w:val="212252AB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AF03C4"/>
    <w:multiLevelType w:val="multilevel"/>
    <w:tmpl w:val="37AF03C4"/>
    <w:lvl w:ilvl="0" w:tentative="0">
      <w:start w:val="1"/>
      <w:numFmt w:val="decimal"/>
      <w:lvlText w:val="%1."/>
      <w:lvlJc w:val="left"/>
      <w:pPr>
        <w:ind w:left="965" w:hanging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7"/>
    <w:rsid w:val="000055C1"/>
    <w:rsid w:val="00013453"/>
    <w:rsid w:val="00077044"/>
    <w:rsid w:val="000A3ECD"/>
    <w:rsid w:val="000B6DC8"/>
    <w:rsid w:val="000B768B"/>
    <w:rsid w:val="000C579D"/>
    <w:rsid w:val="000D0057"/>
    <w:rsid w:val="000F21E5"/>
    <w:rsid w:val="00100EAE"/>
    <w:rsid w:val="00166844"/>
    <w:rsid w:val="00190AEF"/>
    <w:rsid w:val="001C1A70"/>
    <w:rsid w:val="0021205D"/>
    <w:rsid w:val="002179AF"/>
    <w:rsid w:val="00232C2E"/>
    <w:rsid w:val="002709CF"/>
    <w:rsid w:val="00292796"/>
    <w:rsid w:val="002F4BF0"/>
    <w:rsid w:val="00351B9E"/>
    <w:rsid w:val="003610CC"/>
    <w:rsid w:val="00377156"/>
    <w:rsid w:val="00393976"/>
    <w:rsid w:val="003E1FF6"/>
    <w:rsid w:val="00447B26"/>
    <w:rsid w:val="004656F3"/>
    <w:rsid w:val="004872B4"/>
    <w:rsid w:val="004A638E"/>
    <w:rsid w:val="004A6577"/>
    <w:rsid w:val="004B3F9A"/>
    <w:rsid w:val="00517D8A"/>
    <w:rsid w:val="00537D61"/>
    <w:rsid w:val="005776ED"/>
    <w:rsid w:val="005B3164"/>
    <w:rsid w:val="005F4665"/>
    <w:rsid w:val="00631B37"/>
    <w:rsid w:val="006707D9"/>
    <w:rsid w:val="00701A0F"/>
    <w:rsid w:val="00755D50"/>
    <w:rsid w:val="007623EA"/>
    <w:rsid w:val="007A17B3"/>
    <w:rsid w:val="007A3E35"/>
    <w:rsid w:val="007D548C"/>
    <w:rsid w:val="007E4905"/>
    <w:rsid w:val="007E6934"/>
    <w:rsid w:val="00802CED"/>
    <w:rsid w:val="00813D12"/>
    <w:rsid w:val="00877FD6"/>
    <w:rsid w:val="008A5AFF"/>
    <w:rsid w:val="00910514"/>
    <w:rsid w:val="009525DD"/>
    <w:rsid w:val="009B68BA"/>
    <w:rsid w:val="009B68C1"/>
    <w:rsid w:val="009E77E6"/>
    <w:rsid w:val="00A00E11"/>
    <w:rsid w:val="00A0711D"/>
    <w:rsid w:val="00A20211"/>
    <w:rsid w:val="00A219D2"/>
    <w:rsid w:val="00A74318"/>
    <w:rsid w:val="00AC18BB"/>
    <w:rsid w:val="00AE7F96"/>
    <w:rsid w:val="00B46D15"/>
    <w:rsid w:val="00B52182"/>
    <w:rsid w:val="00B52F32"/>
    <w:rsid w:val="00B80643"/>
    <w:rsid w:val="00B878A1"/>
    <w:rsid w:val="00C16C57"/>
    <w:rsid w:val="00C73DA1"/>
    <w:rsid w:val="00C9114B"/>
    <w:rsid w:val="00CF756F"/>
    <w:rsid w:val="00D40B00"/>
    <w:rsid w:val="00D77FB4"/>
    <w:rsid w:val="00DA15E5"/>
    <w:rsid w:val="00E15648"/>
    <w:rsid w:val="00E164DF"/>
    <w:rsid w:val="00E21FD0"/>
    <w:rsid w:val="00E3656A"/>
    <w:rsid w:val="00E5773E"/>
    <w:rsid w:val="00E8630C"/>
    <w:rsid w:val="00F05D41"/>
    <w:rsid w:val="00F640CA"/>
    <w:rsid w:val="00F67368"/>
    <w:rsid w:val="00FA14D1"/>
    <w:rsid w:val="276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17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  <w:kern w:val="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15"/>
    <w:basedOn w:val="8"/>
    <w:qFormat/>
    <w:uiPriority w:val="0"/>
    <w:rPr>
      <w:rFonts w:hint="eastAsia" w:ascii="黑体" w:hAnsi="宋体" w:eastAsia="黑体"/>
      <w:color w:val="000000"/>
      <w:sz w:val="40"/>
      <w:szCs w:val="40"/>
    </w:rPr>
  </w:style>
  <w:style w:type="character" w:customStyle="1" w:styleId="14">
    <w:name w:val="font01"/>
    <w:basedOn w:val="8"/>
    <w:qFormat/>
    <w:uiPriority w:val="0"/>
    <w:rPr>
      <w:rFonts w:ascii="黑体" w:hAnsi="宋体" w:eastAsia="黑体" w:cs="黑体"/>
      <w:color w:val="000000"/>
      <w:sz w:val="40"/>
      <w:szCs w:val="40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正文文本缩进 Char"/>
    <w:basedOn w:val="8"/>
    <w:link w:val="2"/>
    <w:semiHidden/>
    <w:uiPriority w:val="99"/>
  </w:style>
  <w:style w:type="character" w:customStyle="1" w:styleId="17">
    <w:name w:val="正文首行缩进 2 Char"/>
    <w:basedOn w:val="16"/>
    <w:link w:val="6"/>
    <w:qFormat/>
    <w:uiPriority w:val="0"/>
    <w:rPr>
      <w:rFonts w:ascii="Calibri" w:hAnsi="Calibri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2024</Characters>
  <Lines>16</Lines>
  <Paragraphs>4</Paragraphs>
  <TotalTime>764</TotalTime>
  <ScaleCrop>false</ScaleCrop>
  <LinksUpToDate>false</LinksUpToDate>
  <CharactersWithSpaces>2375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2021-05-31T03:16:00Z</dcterms:created>
  <dc:creator>Administrator</dc:creator>
  <cp:lastModifiedBy>Administrator</cp:lastModifiedBy>
  <cp:lastPrinted>2021-10-20T02:53:00Z</cp:lastPrinted>
  <dcterms:modified xsi:type="dcterms:W3CDTF">2021-10-28T01:00:47Z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