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C31F0">
      <w:pPr>
        <w:widowControl/>
        <w:jc w:val="center"/>
        <w:outlineLvl w:val="2"/>
        <w:rPr>
          <w:rFonts w:ascii="Helvetica" w:hAnsi="Helvetica" w:eastAsia="宋体" w:cs="Helvetica"/>
          <w:b/>
          <w:kern w:val="0"/>
          <w:sz w:val="44"/>
          <w:szCs w:val="44"/>
        </w:rPr>
      </w:pPr>
      <w:bookmarkStart w:id="0" w:name="_GoBack"/>
      <w:bookmarkEnd w:id="0"/>
    </w:p>
    <w:p w14:paraId="5A758BF6">
      <w:pPr>
        <w:widowControl/>
        <w:jc w:val="center"/>
        <w:outlineLvl w:val="2"/>
        <w:rPr>
          <w:rFonts w:ascii="Helvetica" w:hAnsi="Helvetica" w:eastAsia="宋体" w:cs="Helvetica"/>
          <w:b/>
          <w:kern w:val="0"/>
          <w:sz w:val="44"/>
          <w:szCs w:val="44"/>
        </w:rPr>
      </w:pPr>
    </w:p>
    <w:p w14:paraId="0B327243">
      <w:pPr>
        <w:widowControl/>
        <w:jc w:val="center"/>
        <w:outlineLvl w:val="2"/>
        <w:rPr>
          <w:rFonts w:cs="Helvetica" w:asciiTheme="majorEastAsia" w:hAnsiTheme="majorEastAsia" w:eastAsiaTheme="majorEastAsia"/>
          <w:b/>
          <w:kern w:val="0"/>
          <w:sz w:val="48"/>
          <w:szCs w:val="48"/>
        </w:rPr>
      </w:pPr>
      <w:r>
        <w:rPr>
          <w:rFonts w:hint="eastAsia" w:cs="Helvetica" w:asciiTheme="majorEastAsia" w:hAnsiTheme="majorEastAsia" w:eastAsiaTheme="majorEastAsia"/>
          <w:b/>
          <w:kern w:val="0"/>
          <w:sz w:val="48"/>
          <w:szCs w:val="48"/>
        </w:rPr>
        <w:t>常宁市</w:t>
      </w:r>
      <w:r>
        <w:rPr>
          <w:rFonts w:cs="Helvetica" w:asciiTheme="majorEastAsia" w:hAnsiTheme="majorEastAsia" w:eastAsiaTheme="majorEastAsia"/>
          <w:b/>
          <w:kern w:val="0"/>
          <w:sz w:val="48"/>
          <w:szCs w:val="48"/>
        </w:rPr>
        <w:t>应急管理局</w:t>
      </w:r>
      <w:r>
        <w:rPr>
          <w:rFonts w:hint="eastAsia" w:cs="Helvetica" w:asciiTheme="majorEastAsia" w:hAnsiTheme="majorEastAsia" w:eastAsiaTheme="majorEastAsia"/>
          <w:b/>
          <w:kern w:val="0"/>
          <w:sz w:val="48"/>
          <w:szCs w:val="48"/>
        </w:rPr>
        <w:t>202</w:t>
      </w:r>
      <w:r>
        <w:rPr>
          <w:rFonts w:hint="eastAsia" w:cs="Helvetica" w:asciiTheme="majorEastAsia" w:hAnsiTheme="majorEastAsia" w:eastAsiaTheme="majorEastAsia"/>
          <w:b/>
          <w:kern w:val="0"/>
          <w:sz w:val="48"/>
          <w:szCs w:val="48"/>
          <w:lang w:val="en-US" w:eastAsia="zh-CN"/>
        </w:rPr>
        <w:t>1</w:t>
      </w:r>
      <w:r>
        <w:rPr>
          <w:rFonts w:cs="Helvetica" w:asciiTheme="majorEastAsia" w:hAnsiTheme="majorEastAsia" w:eastAsiaTheme="majorEastAsia"/>
          <w:b/>
          <w:kern w:val="0"/>
          <w:sz w:val="48"/>
          <w:szCs w:val="48"/>
        </w:rPr>
        <w:t>年度整体</w:t>
      </w:r>
      <w:r>
        <w:rPr>
          <w:rFonts w:hint="eastAsia" w:cs="Helvetica" w:asciiTheme="majorEastAsia" w:hAnsiTheme="majorEastAsia" w:eastAsiaTheme="majorEastAsia"/>
          <w:b/>
          <w:kern w:val="0"/>
          <w:sz w:val="48"/>
          <w:szCs w:val="48"/>
        </w:rPr>
        <w:t>绩效</w:t>
      </w:r>
    </w:p>
    <w:p w14:paraId="4ABEDE77">
      <w:pPr>
        <w:widowControl/>
        <w:jc w:val="center"/>
        <w:outlineLvl w:val="2"/>
        <w:rPr>
          <w:rFonts w:cs="Helvetica" w:asciiTheme="majorEastAsia" w:hAnsiTheme="majorEastAsia" w:eastAsiaTheme="majorEastAsia"/>
          <w:b/>
          <w:kern w:val="0"/>
          <w:sz w:val="44"/>
          <w:szCs w:val="44"/>
        </w:rPr>
      </w:pPr>
      <w:r>
        <w:rPr>
          <w:rFonts w:cs="Helvetica" w:asciiTheme="majorEastAsia" w:hAnsiTheme="majorEastAsia" w:eastAsiaTheme="majorEastAsia"/>
          <w:b/>
          <w:kern w:val="0"/>
          <w:sz w:val="48"/>
          <w:szCs w:val="48"/>
        </w:rPr>
        <w:t>评价报告</w:t>
      </w:r>
    </w:p>
    <w:p w14:paraId="6A46D578">
      <w:pPr>
        <w:widowControl/>
        <w:spacing w:before="150" w:line="360" w:lineRule="atLeast"/>
        <w:ind w:firstLine="645"/>
        <w:jc w:val="left"/>
        <w:rPr>
          <w:rFonts w:ascii="Helvetica" w:hAnsi="Helvetica" w:eastAsia="宋体" w:cs="Helvetica"/>
          <w:color w:val="333333"/>
          <w:kern w:val="0"/>
          <w:sz w:val="24"/>
          <w:szCs w:val="24"/>
        </w:rPr>
      </w:pPr>
      <w:r>
        <w:rPr>
          <w:rFonts w:ascii="Calibri" w:hAnsi="Calibri" w:eastAsia="宋体" w:cs="Helvetica"/>
          <w:color w:val="333333"/>
          <w:kern w:val="0"/>
          <w:sz w:val="36"/>
          <w:szCs w:val="36"/>
        </w:rPr>
        <w:t> </w:t>
      </w:r>
      <w:r>
        <w:rPr>
          <w:rFonts w:hint="eastAsia" w:ascii="仿宋" w:hAnsi="仿宋" w:eastAsia="仿宋" w:cs="仿宋_GB2312"/>
          <w:sz w:val="36"/>
          <w:szCs w:val="36"/>
        </w:rPr>
        <w:t>为深入贯彻落实《中共中央 国务院关于全面实施预算绩效管理的意见》（中发〔2018〕34号）精神，按照《中共湖南省委办公厅 湖南省人民政府办公厅关于全面实施预算绩效管理的实施意见》（湘办发〔2019〕10号）、《预算绩效管理工作考核办法》（湘财绩〔2015〕15号）等文件规定，</w:t>
      </w:r>
      <w:r>
        <w:rPr>
          <w:rFonts w:hint="eastAsia" w:ascii="仿宋" w:hAnsi="仿宋" w:eastAsia="仿宋" w:cs="Helvetica"/>
          <w:color w:val="333333"/>
          <w:kern w:val="0"/>
          <w:sz w:val="36"/>
          <w:szCs w:val="36"/>
        </w:rPr>
        <w:t>针对我局2020年预算和决算执行情况和工作任务完成情况，整体部门支出资金3399.</w:t>
      </w:r>
      <w:r>
        <w:rPr>
          <w:rFonts w:ascii="仿宋" w:hAnsi="仿宋" w:eastAsia="仿宋" w:cs="Helvetica"/>
          <w:color w:val="333333"/>
          <w:kern w:val="0"/>
          <w:sz w:val="36"/>
          <w:szCs w:val="36"/>
        </w:rPr>
        <w:t>1</w:t>
      </w:r>
      <w:r>
        <w:rPr>
          <w:rFonts w:hint="eastAsia" w:ascii="仿宋" w:hAnsi="仿宋" w:eastAsia="仿宋" w:cs="Helvetica"/>
          <w:color w:val="333333"/>
          <w:kern w:val="0"/>
          <w:sz w:val="36"/>
          <w:szCs w:val="36"/>
        </w:rPr>
        <w:t>6万元的管理使用进行了详细自我评价，现将自评报告汇报如下：</w:t>
      </w:r>
    </w:p>
    <w:p w14:paraId="6AEBA284">
      <w:pPr>
        <w:widowControl/>
        <w:spacing w:line="360" w:lineRule="atLeast"/>
        <w:ind w:firstLine="645"/>
        <w:jc w:val="lef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36"/>
          <w:szCs w:val="36"/>
        </w:rPr>
        <w:t>一、部门概况</w:t>
      </w:r>
    </w:p>
    <w:p w14:paraId="2D79F739">
      <w:pPr>
        <w:widowControl/>
        <w:spacing w:line="360" w:lineRule="atLeast"/>
        <w:ind w:firstLine="645"/>
        <w:jc w:val="left"/>
        <w:rPr>
          <w:rFonts w:ascii="Helvetica" w:hAnsi="Helvetica" w:eastAsia="宋体" w:cs="Helvetica"/>
          <w:b/>
          <w:color w:val="333333"/>
          <w:kern w:val="0"/>
          <w:sz w:val="24"/>
          <w:szCs w:val="24"/>
        </w:rPr>
      </w:pPr>
      <w:r>
        <w:rPr>
          <w:rFonts w:hint="eastAsia" w:ascii="仿宋" w:hAnsi="仿宋" w:eastAsia="仿宋" w:cs="Helvetica"/>
          <w:b/>
          <w:color w:val="333333"/>
          <w:kern w:val="0"/>
          <w:sz w:val="36"/>
          <w:szCs w:val="36"/>
        </w:rPr>
        <w:t>（一）部门基本职能</w:t>
      </w:r>
    </w:p>
    <w:p w14:paraId="7E36CE44">
      <w:pPr>
        <w:ind w:firstLine="900" w:firstLineChars="250"/>
        <w:rPr>
          <w:rFonts w:ascii="仿宋" w:hAnsi="仿宋" w:eastAsia="仿宋"/>
          <w:sz w:val="36"/>
          <w:szCs w:val="36"/>
        </w:rPr>
      </w:pPr>
      <w:r>
        <w:rPr>
          <w:rFonts w:hint="eastAsia" w:ascii="仿宋" w:hAnsi="仿宋" w:eastAsia="仿宋"/>
          <w:sz w:val="36"/>
          <w:szCs w:val="36"/>
        </w:rPr>
        <w:t>1、负责应急管理工作，指导全市各乡镇（街道办事处）、市直各部门应对安全生产类、自然灾害类等突发事件和综合防灾减灾救灾工作。负责安全生产综合监督管理和权限内工矿商贸行业安全生产监督管理工作。</w:t>
      </w:r>
    </w:p>
    <w:p w14:paraId="6D7BDCB2">
      <w:pPr>
        <w:ind w:firstLine="900" w:firstLineChars="250"/>
        <w:rPr>
          <w:rFonts w:ascii="仿宋" w:hAnsi="仿宋" w:eastAsia="仿宋"/>
          <w:sz w:val="36"/>
          <w:szCs w:val="36"/>
        </w:rPr>
      </w:pPr>
      <w:r>
        <w:rPr>
          <w:rFonts w:hint="eastAsia" w:ascii="仿宋" w:hAnsi="仿宋" w:eastAsia="仿宋"/>
          <w:sz w:val="36"/>
          <w:szCs w:val="36"/>
        </w:rPr>
        <w:t>2、贯彻实施相关法律法规、部门规章、规程和标准，组织编制全市应急体系建设、安全生产和综合防灾减灾规划，组织起草相关规范性文件，组织拟订相关政策并监督实施。</w:t>
      </w:r>
    </w:p>
    <w:p w14:paraId="3C60210F">
      <w:pPr>
        <w:ind w:firstLine="900" w:firstLineChars="250"/>
        <w:rPr>
          <w:rFonts w:ascii="仿宋" w:hAnsi="仿宋" w:eastAsia="仿宋"/>
          <w:sz w:val="36"/>
          <w:szCs w:val="36"/>
        </w:rPr>
      </w:pPr>
      <w:r>
        <w:rPr>
          <w:rFonts w:hint="eastAsia" w:ascii="仿宋" w:hAnsi="仿宋" w:eastAsia="仿宋"/>
          <w:sz w:val="36"/>
          <w:szCs w:val="36"/>
        </w:rPr>
        <w:t>3、指导应急预案体系建设，建立完善事故灾难和自然灾害分级应对制度，组织编制常宁市总体应急预案和安全生产类、自然灾害类专项预案，综合协调应急预案衔接工作，组织开展预案演练，推动应急避难设施建设。</w:t>
      </w:r>
    </w:p>
    <w:p w14:paraId="6D9E0502">
      <w:pPr>
        <w:ind w:firstLine="720" w:firstLineChars="200"/>
        <w:rPr>
          <w:rFonts w:ascii="仿宋" w:hAnsi="仿宋" w:eastAsia="仿宋"/>
          <w:sz w:val="36"/>
          <w:szCs w:val="36"/>
        </w:rPr>
      </w:pPr>
      <w:r>
        <w:rPr>
          <w:rFonts w:hint="eastAsia" w:ascii="仿宋" w:hAnsi="仿宋" w:eastAsia="仿宋"/>
          <w:sz w:val="36"/>
          <w:szCs w:val="36"/>
        </w:rPr>
        <w:t>4、牵头推进全市统一的应急管理信息系统建设，负责信息传输渠道的规划和布局，建立监测预警和灾情报告制度，健全自然灾害信息资源获取和共享机制，依法统一发布灾情。</w:t>
      </w:r>
    </w:p>
    <w:p w14:paraId="2A0A3523">
      <w:pPr>
        <w:ind w:firstLine="720" w:firstLineChars="200"/>
        <w:rPr>
          <w:rFonts w:ascii="仿宋" w:hAnsi="仿宋" w:eastAsia="仿宋"/>
          <w:sz w:val="36"/>
          <w:szCs w:val="36"/>
        </w:rPr>
      </w:pPr>
      <w:r>
        <w:rPr>
          <w:rFonts w:hint="eastAsia" w:ascii="仿宋" w:hAnsi="仿宋" w:eastAsia="仿宋"/>
          <w:sz w:val="36"/>
          <w:szCs w:val="36"/>
        </w:rPr>
        <w:t>5、组织指导协调安全生产类、自然灾害类等突发事件应急救援，承担市应对一般灾害指挥部工作，综合研判突发事件发展态势并提出应对建议，协助市委、市政府指定的负责同志组织一般及以上灾害应急处置工作。</w:t>
      </w:r>
    </w:p>
    <w:p w14:paraId="362F120B">
      <w:pPr>
        <w:ind w:firstLine="720" w:firstLineChars="200"/>
        <w:rPr>
          <w:rFonts w:ascii="仿宋" w:hAnsi="仿宋" w:eastAsia="仿宋"/>
          <w:sz w:val="36"/>
          <w:szCs w:val="36"/>
        </w:rPr>
      </w:pPr>
      <w:r>
        <w:rPr>
          <w:rFonts w:hint="eastAsia" w:ascii="仿宋" w:hAnsi="仿宋" w:eastAsia="仿宋"/>
          <w:sz w:val="36"/>
          <w:szCs w:val="36"/>
        </w:rPr>
        <w:t>6、统一协调指挥各类应急专业队伍，建立应急协调联动机制，推进指挥平台对接，负责做好解放军和武警部队参与应急救援相关衔接工作。</w:t>
      </w:r>
    </w:p>
    <w:p w14:paraId="3CF5F790">
      <w:pPr>
        <w:ind w:firstLine="720" w:firstLineChars="200"/>
        <w:rPr>
          <w:rFonts w:ascii="仿宋" w:hAnsi="仿宋" w:eastAsia="仿宋"/>
          <w:sz w:val="36"/>
          <w:szCs w:val="36"/>
        </w:rPr>
      </w:pPr>
      <w:r>
        <w:rPr>
          <w:rFonts w:hint="eastAsia" w:ascii="仿宋" w:hAnsi="仿宋" w:eastAsia="仿宋"/>
          <w:sz w:val="36"/>
          <w:szCs w:val="36"/>
        </w:rPr>
        <w:t>7、统筹全市应急救援力量建设，负责消防、森林火灾扑救、抗洪抢险、地震和地质灾害救援、生产安全事故救援等专业应急救援力量建设，依权限做好应急救援队伍建设的相关工作，指导市直部门、乡镇（街道办事处）、园区及社会应急救援力量建设。</w:t>
      </w:r>
    </w:p>
    <w:p w14:paraId="4A337111">
      <w:pPr>
        <w:ind w:firstLine="720" w:firstLineChars="200"/>
        <w:rPr>
          <w:rFonts w:ascii="仿宋" w:hAnsi="仿宋" w:eastAsia="仿宋"/>
          <w:sz w:val="36"/>
          <w:szCs w:val="36"/>
        </w:rPr>
      </w:pPr>
      <w:r>
        <w:rPr>
          <w:rFonts w:hint="eastAsia" w:ascii="仿宋" w:hAnsi="仿宋" w:eastAsia="仿宋"/>
          <w:sz w:val="36"/>
          <w:szCs w:val="36"/>
        </w:rPr>
        <w:t>8、指导协调全市消防管理有关工作，指导市直部门、乡镇（街道办事处）和园区消防监督、火灾预防、火灾扑救等工作。</w:t>
      </w:r>
    </w:p>
    <w:p w14:paraId="70C6C51E">
      <w:pPr>
        <w:ind w:firstLine="720" w:firstLineChars="200"/>
        <w:rPr>
          <w:rFonts w:ascii="仿宋" w:hAnsi="仿宋" w:eastAsia="仿宋"/>
          <w:sz w:val="36"/>
          <w:szCs w:val="36"/>
        </w:rPr>
      </w:pPr>
      <w:r>
        <w:rPr>
          <w:rFonts w:hint="eastAsia" w:ascii="仿宋" w:hAnsi="仿宋" w:eastAsia="仿宋"/>
          <w:sz w:val="36"/>
          <w:szCs w:val="36"/>
        </w:rPr>
        <w:t>9、指导协调全市森林火灾、水旱灾害、地震和地质灾害等防治工作，负责自然灾害综合监测预警工作，指导开展自然灾害综合风险评估工作。</w:t>
      </w:r>
    </w:p>
    <w:p w14:paraId="7EA68CF7">
      <w:pPr>
        <w:ind w:firstLine="720" w:firstLineChars="200"/>
        <w:rPr>
          <w:rFonts w:ascii="仿宋" w:hAnsi="仿宋" w:eastAsia="仿宋"/>
          <w:sz w:val="36"/>
          <w:szCs w:val="36"/>
        </w:rPr>
      </w:pPr>
      <w:r>
        <w:rPr>
          <w:rFonts w:hint="eastAsia" w:ascii="仿宋" w:hAnsi="仿宋" w:eastAsia="仿宋"/>
          <w:sz w:val="36"/>
          <w:szCs w:val="36"/>
        </w:rPr>
        <w:t>10、组织协调灾害救助工作，组织指导灾情核查、损失评估、救灾捐赠工作，按权限管理、分配中央、省、衡阳市级下达和本级救灾抗灾款物并监督使用。</w:t>
      </w:r>
    </w:p>
    <w:p w14:paraId="5010113D">
      <w:pPr>
        <w:ind w:firstLine="720" w:firstLineChars="200"/>
        <w:rPr>
          <w:rFonts w:ascii="仿宋" w:hAnsi="仿宋" w:eastAsia="仿宋"/>
          <w:sz w:val="36"/>
          <w:szCs w:val="36"/>
        </w:rPr>
      </w:pPr>
      <w:r>
        <w:rPr>
          <w:rFonts w:hint="eastAsia" w:ascii="仿宋" w:hAnsi="仿宋" w:eastAsia="仿宋"/>
          <w:sz w:val="36"/>
          <w:szCs w:val="36"/>
        </w:rPr>
        <w:t>11、依法行使安全生产综合监督管理职权，指导协调、监督检查市直有关部门、乡镇（街道办事处）及园区(宜阳工业园、水口山经济开发区等单位，下同)管理机构的安全生产工作，组织开展安全生产检查、巡查考核工作。</w:t>
      </w:r>
    </w:p>
    <w:p w14:paraId="38FC9731">
      <w:pPr>
        <w:ind w:firstLine="720" w:firstLineChars="200"/>
        <w:rPr>
          <w:rFonts w:ascii="仿宋" w:hAnsi="仿宋" w:eastAsia="仿宋"/>
          <w:sz w:val="36"/>
          <w:szCs w:val="36"/>
        </w:rPr>
      </w:pPr>
      <w:r>
        <w:rPr>
          <w:rFonts w:hint="eastAsia" w:ascii="仿宋" w:hAnsi="仿宋" w:eastAsia="仿宋"/>
          <w:sz w:val="36"/>
          <w:szCs w:val="36"/>
        </w:rPr>
        <w:t>12、按照分级、属地原则，依法监督检查权限内工矿(煤矿除外)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经营安全监督管理工作。</w:t>
      </w:r>
    </w:p>
    <w:p w14:paraId="7B2D0082">
      <w:pPr>
        <w:ind w:firstLine="720" w:firstLineChars="200"/>
        <w:rPr>
          <w:rFonts w:ascii="仿宋" w:hAnsi="仿宋" w:eastAsia="仿宋"/>
          <w:sz w:val="36"/>
          <w:szCs w:val="36"/>
        </w:rPr>
      </w:pPr>
      <w:r>
        <w:rPr>
          <w:rFonts w:hint="eastAsia" w:ascii="仿宋" w:hAnsi="仿宋" w:eastAsia="仿宋"/>
          <w:sz w:val="36"/>
          <w:szCs w:val="36"/>
        </w:rPr>
        <w:t xml:space="preserve"> 13、依法组织指导生产安全事故调查处理，监督事故查处和责任追究落实情况。组织开展自然灾害类突发事件的调查评估工作。</w:t>
      </w:r>
    </w:p>
    <w:p w14:paraId="790E7B3E">
      <w:pPr>
        <w:ind w:firstLine="900" w:firstLineChars="250"/>
        <w:rPr>
          <w:rFonts w:ascii="仿宋" w:hAnsi="仿宋" w:eastAsia="仿宋"/>
          <w:sz w:val="36"/>
          <w:szCs w:val="36"/>
        </w:rPr>
      </w:pPr>
      <w:r>
        <w:rPr>
          <w:rFonts w:hint="eastAsia" w:ascii="仿宋" w:hAnsi="仿宋" w:eastAsia="仿宋"/>
          <w:sz w:val="36"/>
          <w:szCs w:val="36"/>
        </w:rPr>
        <w:t>14、开展应急管理对外交流与合作，组织参与安全生产类、自然灾害类等突发事件的对外救援工作。</w:t>
      </w:r>
    </w:p>
    <w:p w14:paraId="68A18992">
      <w:pPr>
        <w:ind w:firstLine="900" w:firstLineChars="250"/>
        <w:rPr>
          <w:rFonts w:ascii="仿宋" w:hAnsi="仿宋" w:eastAsia="仿宋"/>
          <w:sz w:val="36"/>
          <w:szCs w:val="36"/>
        </w:rPr>
      </w:pPr>
      <w:r>
        <w:rPr>
          <w:rFonts w:hint="eastAsia" w:ascii="仿宋" w:hAnsi="仿宋" w:eastAsia="仿宋"/>
          <w:sz w:val="36"/>
          <w:szCs w:val="36"/>
        </w:rPr>
        <w:t>15、制定全市应急物资储备和应急救援装备规划并组织实施，会同市商务和粮食局等部门建立健全应急物资信息平台和调拨制度,在救灾时统一调度。</w:t>
      </w:r>
    </w:p>
    <w:p w14:paraId="67BF99EF">
      <w:pPr>
        <w:ind w:firstLine="720" w:firstLineChars="200"/>
        <w:rPr>
          <w:rFonts w:ascii="仿宋" w:hAnsi="仿宋" w:eastAsia="仿宋"/>
          <w:sz w:val="36"/>
          <w:szCs w:val="36"/>
        </w:rPr>
      </w:pPr>
      <w:r>
        <w:rPr>
          <w:rFonts w:hint="eastAsia" w:ascii="仿宋" w:hAnsi="仿宋" w:eastAsia="仿宋"/>
          <w:sz w:val="36"/>
          <w:szCs w:val="36"/>
        </w:rPr>
        <w:t>16、负责应急管理、安全生产宣传教育和培训工作，组织指导应急管理、安全生产的科学技术研究、推广应用和信息化建设工作。</w:t>
      </w:r>
    </w:p>
    <w:p w14:paraId="14E01381">
      <w:pPr>
        <w:ind w:firstLine="900" w:firstLineChars="250"/>
        <w:rPr>
          <w:rFonts w:ascii="仿宋" w:hAnsi="仿宋" w:eastAsia="仿宋"/>
          <w:sz w:val="36"/>
          <w:szCs w:val="36"/>
        </w:rPr>
      </w:pPr>
      <w:r>
        <w:rPr>
          <w:rFonts w:hint="eastAsia" w:ascii="仿宋" w:hAnsi="仿宋" w:eastAsia="仿宋"/>
          <w:sz w:val="36"/>
          <w:szCs w:val="36"/>
        </w:rPr>
        <w:t>17、承担市防汛抗旱指挥部日常工作，协调市防汛抗旱指挥部成员单位的相关工作，组织执行国家防汛抗旱总指挥部、相关流域防汛抗旱指挥机构、省防汛抗旱指挥部、衡阳市防汛抗旱指挥部和市防汛抗旱指挥部的指示、命令。</w:t>
      </w:r>
    </w:p>
    <w:p w14:paraId="35CBE1F2">
      <w:pPr>
        <w:ind w:firstLine="900" w:firstLineChars="250"/>
        <w:rPr>
          <w:rFonts w:ascii="仿宋" w:hAnsi="仿宋" w:eastAsia="仿宋"/>
          <w:sz w:val="36"/>
          <w:szCs w:val="36"/>
        </w:rPr>
      </w:pPr>
      <w:r>
        <w:rPr>
          <w:rFonts w:hint="eastAsia" w:ascii="仿宋" w:hAnsi="仿宋" w:eastAsia="仿宋"/>
          <w:sz w:val="36"/>
          <w:szCs w:val="36"/>
        </w:rPr>
        <w:t>18、完成市委、市政府交办的其他任务。</w:t>
      </w:r>
    </w:p>
    <w:p w14:paraId="3C948157">
      <w:pPr>
        <w:pStyle w:val="4"/>
        <w:tabs>
          <w:tab w:val="left" w:pos="420"/>
        </w:tabs>
        <w:spacing w:beforeAutospacing="0" w:afterAutospacing="0" w:line="360" w:lineRule="auto"/>
        <w:ind w:firstLine="723" w:firstLineChars="200"/>
        <w:rPr>
          <w:rFonts w:ascii="仿宋" w:hAnsi="仿宋" w:eastAsia="仿宋"/>
          <w:b/>
          <w:bCs/>
          <w:sz w:val="36"/>
          <w:szCs w:val="36"/>
        </w:rPr>
      </w:pPr>
      <w:r>
        <w:rPr>
          <w:rFonts w:hint="eastAsia" w:ascii="仿宋" w:hAnsi="仿宋" w:eastAsia="仿宋"/>
          <w:b/>
          <w:bCs/>
          <w:sz w:val="36"/>
          <w:szCs w:val="36"/>
        </w:rPr>
        <w:t>（二）机构设置</w:t>
      </w:r>
    </w:p>
    <w:p w14:paraId="63AA9DC1">
      <w:pPr>
        <w:pStyle w:val="4"/>
        <w:spacing w:beforeAutospacing="0" w:afterAutospacing="0" w:line="360" w:lineRule="auto"/>
        <w:ind w:firstLine="720" w:firstLineChars="200"/>
        <w:rPr>
          <w:rFonts w:ascii="仿宋" w:hAnsi="仿宋" w:eastAsia="仿宋"/>
          <w:sz w:val="36"/>
          <w:szCs w:val="36"/>
        </w:rPr>
      </w:pPr>
      <w:r>
        <w:rPr>
          <w:rFonts w:hint="eastAsia" w:ascii="仿宋" w:hAnsi="仿宋" w:eastAsia="仿宋"/>
          <w:sz w:val="36"/>
          <w:szCs w:val="36"/>
        </w:rPr>
        <w:t>1、部门设置。根据编委核定本单位内设处室13个，所属事业单位1个。其中：内设股室分别是办公室(党委办公室)、应急指挥中心、组织人事股（教育训练股）、风险监测和减灾救灾股、火灾防治管理股、防汛抗旱股、非煤矿山安全监督管理股、工贸行业安全监督管理股、危险化学品安全监督管理股(烟花爆竹安全监督管理股)、安全生产综合协调股、政策法规股（行政审批服务股）、财务装备股、调查评估和统计股,所属事业单位是安全生产教育培训中心。</w:t>
      </w:r>
    </w:p>
    <w:p w14:paraId="30BA7C53">
      <w:pPr>
        <w:widowControl/>
        <w:shd w:val="clear" w:color="auto" w:fill="FFFFFF"/>
        <w:spacing w:line="480" w:lineRule="auto"/>
        <w:ind w:firstLine="480"/>
        <w:jc w:val="left"/>
        <w:rPr>
          <w:rFonts w:ascii="仿宋" w:hAnsi="仿宋" w:eastAsia="仿宋"/>
          <w:sz w:val="36"/>
          <w:szCs w:val="36"/>
        </w:rPr>
      </w:pPr>
      <w:r>
        <w:rPr>
          <w:rFonts w:hint="eastAsia" w:ascii="仿宋" w:hAnsi="仿宋" w:eastAsia="仿宋"/>
          <w:sz w:val="36"/>
          <w:szCs w:val="36"/>
        </w:rPr>
        <w:t>2、人员情况。本部门编制数15人,在职人数1</w:t>
      </w:r>
      <w:r>
        <w:rPr>
          <w:rFonts w:ascii="仿宋" w:hAnsi="仿宋" w:eastAsia="仿宋"/>
          <w:sz w:val="36"/>
          <w:szCs w:val="36"/>
        </w:rPr>
        <w:t>3</w:t>
      </w:r>
      <w:r>
        <w:rPr>
          <w:rFonts w:hint="eastAsia" w:ascii="仿宋" w:hAnsi="仿宋" w:eastAsia="仿宋"/>
          <w:sz w:val="36"/>
          <w:szCs w:val="36"/>
          <w:lang w:val="en-US" w:eastAsia="zh-CN"/>
        </w:rPr>
        <w:t>2</w:t>
      </w:r>
      <w:r>
        <w:rPr>
          <w:rFonts w:hint="eastAsia" w:ascii="仿宋" w:hAnsi="仿宋" w:eastAsia="仿宋"/>
          <w:sz w:val="36"/>
          <w:szCs w:val="36"/>
        </w:rPr>
        <w:t>人，其中:在岗人数</w:t>
      </w:r>
      <w:r>
        <w:rPr>
          <w:rFonts w:hint="eastAsia" w:ascii="仿宋" w:hAnsi="仿宋" w:eastAsia="仿宋"/>
          <w:sz w:val="36"/>
          <w:szCs w:val="36"/>
          <w:lang w:val="en-US" w:eastAsia="zh-CN"/>
        </w:rPr>
        <w:t>132</w:t>
      </w:r>
      <w:r>
        <w:rPr>
          <w:rFonts w:hint="eastAsia" w:ascii="仿宋" w:hAnsi="仿宋" w:eastAsia="仿宋"/>
          <w:sz w:val="36"/>
          <w:szCs w:val="36"/>
        </w:rPr>
        <w:t>人。</w:t>
      </w:r>
    </w:p>
    <w:p w14:paraId="2E050EDB">
      <w:pPr>
        <w:pStyle w:val="4"/>
        <w:shd w:val="clear" w:color="auto" w:fill="FFFFFF"/>
        <w:spacing w:before="0" w:beforeAutospacing="0" w:after="0" w:afterAutospacing="0" w:line="360" w:lineRule="atLeast"/>
        <w:ind w:firstLine="645"/>
        <w:rPr>
          <w:rFonts w:cs="Helvetica" w:asciiTheme="majorEastAsia" w:hAnsiTheme="majorEastAsia" w:eastAsiaTheme="majorEastAsia"/>
          <w:color w:val="333333"/>
          <w:sz w:val="36"/>
          <w:szCs w:val="36"/>
        </w:rPr>
      </w:pPr>
      <w:r>
        <w:rPr>
          <w:rStyle w:val="7"/>
          <w:rFonts w:hint="eastAsia" w:cs="Helvetica" w:asciiTheme="majorEastAsia" w:hAnsiTheme="majorEastAsia" w:eastAsiaTheme="majorEastAsia"/>
          <w:bCs w:val="0"/>
          <w:color w:val="333333"/>
          <w:sz w:val="36"/>
          <w:szCs w:val="36"/>
        </w:rPr>
        <w:t>二、部门整体支出管理及使用情况分析</w:t>
      </w:r>
    </w:p>
    <w:p w14:paraId="522B6FE0">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（一）整体资金情况</w:t>
      </w:r>
    </w:p>
    <w:p w14:paraId="64801BD7">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全年收入</w:t>
      </w:r>
      <w:r>
        <w:rPr>
          <w:rFonts w:hint="eastAsia" w:ascii="仿宋" w:hAnsi="仿宋" w:eastAsia="仿宋" w:cs="Helvetica"/>
          <w:color w:val="333333"/>
          <w:sz w:val="36"/>
          <w:szCs w:val="36"/>
          <w:lang w:val="en-US" w:eastAsia="zh-CN"/>
        </w:rPr>
        <w:t>2944.06</w:t>
      </w:r>
      <w:r>
        <w:rPr>
          <w:rFonts w:hint="eastAsia" w:ascii="仿宋" w:hAnsi="仿宋" w:eastAsia="仿宋" w:cs="Helvetica"/>
          <w:color w:val="333333"/>
          <w:sz w:val="36"/>
          <w:szCs w:val="36"/>
        </w:rPr>
        <w:t>万元，支出</w:t>
      </w:r>
      <w:r>
        <w:rPr>
          <w:rFonts w:hint="eastAsia" w:ascii="仿宋" w:hAnsi="仿宋" w:eastAsia="仿宋" w:cs="Helvetica"/>
          <w:color w:val="333333"/>
          <w:sz w:val="36"/>
          <w:szCs w:val="36"/>
          <w:lang w:val="en-US" w:eastAsia="zh-CN"/>
        </w:rPr>
        <w:t>2944.06</w:t>
      </w:r>
      <w:r>
        <w:rPr>
          <w:rFonts w:hint="eastAsia" w:ascii="仿宋" w:hAnsi="仿宋" w:eastAsia="仿宋" w:cs="Helvetica"/>
          <w:color w:val="333333"/>
          <w:sz w:val="36"/>
          <w:szCs w:val="36"/>
        </w:rPr>
        <w:t>万元。年初预算财政拨款</w:t>
      </w:r>
      <w:r>
        <w:rPr>
          <w:rFonts w:hint="eastAsia" w:ascii="仿宋" w:hAnsi="仿宋" w:eastAsia="仿宋" w:cs="Helvetica"/>
          <w:color w:val="333333"/>
          <w:sz w:val="36"/>
          <w:szCs w:val="36"/>
          <w:lang w:val="en-US" w:eastAsia="zh-CN"/>
        </w:rPr>
        <w:t>1639.24</w:t>
      </w:r>
      <w:r>
        <w:rPr>
          <w:rFonts w:hint="eastAsia" w:ascii="仿宋" w:hAnsi="仿宋" w:eastAsia="仿宋" w:cs="Helvetica"/>
          <w:color w:val="333333"/>
          <w:sz w:val="36"/>
          <w:szCs w:val="36"/>
        </w:rPr>
        <w:t>万元。</w:t>
      </w:r>
    </w:p>
    <w:p w14:paraId="4C91465D">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（二）基本支出情况</w:t>
      </w:r>
    </w:p>
    <w:p w14:paraId="7D488383">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基本支出主要是为保障单位机构正常运转、完成日常工作任务而发生的各项支出,包括用于基本工资、津贴补贴等人员经费以及办公费、印刷费、水电费、办公设备购置等日常公用经费。基本支出共计</w:t>
      </w:r>
      <w:r>
        <w:rPr>
          <w:rFonts w:hint="eastAsia" w:ascii="仿宋" w:hAnsi="仿宋" w:eastAsia="仿宋" w:cs="Helvetica"/>
          <w:color w:val="333333"/>
          <w:sz w:val="36"/>
          <w:szCs w:val="36"/>
          <w:lang w:val="en-US" w:eastAsia="zh-CN"/>
        </w:rPr>
        <w:t>1442.38</w:t>
      </w:r>
      <w:r>
        <w:rPr>
          <w:rFonts w:hint="eastAsia" w:ascii="仿宋" w:hAnsi="仿宋" w:eastAsia="仿宋" w:cs="Helvetica"/>
          <w:color w:val="333333"/>
          <w:sz w:val="36"/>
          <w:szCs w:val="36"/>
        </w:rPr>
        <w:t>万元，其中:</w:t>
      </w:r>
      <w:r>
        <w:rPr>
          <w:rFonts w:hint="eastAsia" w:ascii="仿宋" w:hAnsi="仿宋" w:eastAsia="仿宋" w:cs="Helvetica"/>
          <w:color w:val="333333"/>
        </w:rPr>
        <w:t>　</w:t>
      </w:r>
    </w:p>
    <w:p w14:paraId="4971AA0D">
      <w:pPr>
        <w:pStyle w:val="4"/>
        <w:shd w:val="clear" w:color="auto" w:fill="FFFFFF"/>
        <w:spacing w:before="150" w:beforeAutospacing="0" w:after="0" w:afterAutospacing="0" w:line="360" w:lineRule="atLeast"/>
        <w:rPr>
          <w:rFonts w:ascii="仿宋" w:hAnsi="仿宋" w:eastAsia="仿宋" w:cs="Helvetica"/>
          <w:color w:val="333333"/>
          <w:sz w:val="36"/>
          <w:szCs w:val="36"/>
        </w:rPr>
      </w:pPr>
      <w:r>
        <w:rPr>
          <w:rFonts w:hint="eastAsia" w:ascii="仿宋" w:hAnsi="仿宋" w:eastAsia="仿宋" w:cs="Helvetica"/>
          <w:color w:val="333333"/>
          <w:sz w:val="36"/>
          <w:szCs w:val="36"/>
        </w:rPr>
        <w:t>住房和保障支出</w:t>
      </w:r>
      <w:r>
        <w:rPr>
          <w:rFonts w:hint="eastAsia" w:ascii="仿宋" w:hAnsi="仿宋" w:eastAsia="仿宋" w:cs="Helvetica"/>
          <w:color w:val="333333"/>
          <w:sz w:val="36"/>
          <w:szCs w:val="36"/>
          <w:lang w:val="en-US" w:eastAsia="zh-CN"/>
        </w:rPr>
        <w:t>71.40</w:t>
      </w:r>
      <w:r>
        <w:rPr>
          <w:rFonts w:hint="eastAsia" w:ascii="仿宋" w:hAnsi="仿宋" w:eastAsia="仿宋" w:cs="Helvetica"/>
          <w:color w:val="333333"/>
          <w:sz w:val="36"/>
          <w:szCs w:val="36"/>
        </w:rPr>
        <w:t>万元，占基本支出的</w:t>
      </w:r>
      <w:r>
        <w:rPr>
          <w:rFonts w:hint="eastAsia" w:ascii="仿宋" w:hAnsi="仿宋" w:eastAsia="仿宋" w:cs="Helvetica"/>
          <w:color w:val="333333"/>
          <w:sz w:val="36"/>
          <w:szCs w:val="36"/>
          <w:lang w:val="en-US" w:eastAsia="zh-CN"/>
        </w:rPr>
        <w:t>4.95</w:t>
      </w:r>
      <w:r>
        <w:rPr>
          <w:rFonts w:hint="eastAsia" w:ascii="仿宋" w:hAnsi="仿宋" w:eastAsia="仿宋" w:cs="Helvetica"/>
          <w:color w:val="333333"/>
          <w:sz w:val="36"/>
          <w:szCs w:val="36"/>
        </w:rPr>
        <w:t>%；</w:t>
      </w:r>
    </w:p>
    <w:p w14:paraId="2759C33A">
      <w:pPr>
        <w:pStyle w:val="4"/>
        <w:shd w:val="clear" w:color="auto" w:fill="FFFFFF"/>
        <w:spacing w:before="150" w:beforeAutospacing="0" w:after="0" w:afterAutospacing="0" w:line="360" w:lineRule="atLeast"/>
        <w:rPr>
          <w:rFonts w:hint="eastAsia" w:ascii="仿宋" w:hAnsi="仿宋" w:eastAsia="仿宋" w:cs="Helvetica"/>
          <w:color w:val="333333"/>
          <w:sz w:val="36"/>
          <w:szCs w:val="36"/>
        </w:rPr>
      </w:pPr>
      <w:r>
        <w:rPr>
          <w:rFonts w:hint="eastAsia" w:ascii="仿宋" w:hAnsi="仿宋" w:eastAsia="仿宋" w:cs="Helvetica"/>
          <w:color w:val="333333"/>
          <w:sz w:val="36"/>
          <w:szCs w:val="36"/>
        </w:rPr>
        <w:t>工资福利支出</w:t>
      </w:r>
      <w:r>
        <w:rPr>
          <w:rFonts w:hint="eastAsia" w:ascii="仿宋" w:hAnsi="仿宋" w:eastAsia="仿宋" w:cs="Helvetica"/>
          <w:color w:val="333333"/>
          <w:sz w:val="36"/>
          <w:szCs w:val="36"/>
          <w:lang w:val="en-US" w:eastAsia="zh-CN"/>
        </w:rPr>
        <w:t>1088.03</w:t>
      </w:r>
      <w:r>
        <w:rPr>
          <w:rFonts w:hint="eastAsia" w:ascii="仿宋" w:hAnsi="仿宋" w:eastAsia="仿宋" w:cs="Helvetica"/>
          <w:color w:val="333333"/>
          <w:sz w:val="36"/>
          <w:szCs w:val="36"/>
        </w:rPr>
        <w:t>万元,占基本支出的</w:t>
      </w:r>
      <w:r>
        <w:rPr>
          <w:rFonts w:hint="eastAsia" w:ascii="仿宋" w:hAnsi="仿宋" w:eastAsia="仿宋" w:cs="Helvetica"/>
          <w:color w:val="333333"/>
          <w:sz w:val="36"/>
          <w:szCs w:val="36"/>
          <w:lang w:val="en-US" w:eastAsia="zh-CN"/>
        </w:rPr>
        <w:t>75.43</w:t>
      </w:r>
      <w:r>
        <w:rPr>
          <w:rFonts w:hint="eastAsia" w:ascii="仿宋" w:hAnsi="仿宋" w:eastAsia="仿宋" w:cs="Helvetica"/>
          <w:color w:val="333333"/>
          <w:sz w:val="36"/>
          <w:szCs w:val="36"/>
        </w:rPr>
        <w:t>%；</w:t>
      </w:r>
    </w:p>
    <w:p w14:paraId="5E5DD590">
      <w:pPr>
        <w:pStyle w:val="4"/>
        <w:shd w:val="clear" w:color="auto" w:fill="FFFFFF"/>
        <w:spacing w:before="150" w:beforeAutospacing="0" w:after="0" w:afterAutospacing="0" w:line="360" w:lineRule="atLeast"/>
        <w:rPr>
          <w:rFonts w:hint="default" w:ascii="仿宋" w:hAnsi="仿宋" w:eastAsia="仿宋" w:cs="Helvetica"/>
          <w:color w:val="333333"/>
          <w:sz w:val="36"/>
          <w:szCs w:val="36"/>
          <w:lang w:val="en-US" w:eastAsia="zh-CN"/>
        </w:rPr>
      </w:pPr>
      <w:r>
        <w:rPr>
          <w:rFonts w:hint="eastAsia" w:ascii="仿宋" w:hAnsi="仿宋" w:eastAsia="仿宋" w:cs="Helvetica"/>
          <w:color w:val="333333"/>
          <w:sz w:val="36"/>
          <w:szCs w:val="36"/>
          <w:lang w:val="en-US" w:eastAsia="zh-CN"/>
        </w:rPr>
        <w:t>社会保障缴费126.91万元，</w:t>
      </w:r>
      <w:r>
        <w:rPr>
          <w:rFonts w:hint="eastAsia" w:ascii="仿宋" w:hAnsi="仿宋" w:eastAsia="仿宋" w:cs="Helvetica"/>
          <w:color w:val="333333"/>
          <w:sz w:val="36"/>
          <w:szCs w:val="36"/>
        </w:rPr>
        <w:t>占基本支出的</w:t>
      </w:r>
      <w:r>
        <w:rPr>
          <w:rFonts w:hint="eastAsia" w:ascii="仿宋" w:hAnsi="仿宋" w:eastAsia="仿宋" w:cs="Helvetica"/>
          <w:color w:val="333333"/>
          <w:sz w:val="36"/>
          <w:szCs w:val="36"/>
          <w:lang w:val="en-US" w:eastAsia="zh-CN"/>
        </w:rPr>
        <w:t>8.80</w:t>
      </w:r>
      <w:r>
        <w:rPr>
          <w:rFonts w:hint="eastAsia" w:ascii="仿宋" w:hAnsi="仿宋" w:eastAsia="仿宋" w:cs="Helvetica"/>
          <w:color w:val="333333"/>
          <w:sz w:val="36"/>
          <w:szCs w:val="36"/>
        </w:rPr>
        <w:t>%</w:t>
      </w:r>
    </w:p>
    <w:p w14:paraId="3F7C4C2D">
      <w:pPr>
        <w:pStyle w:val="4"/>
        <w:shd w:val="clear" w:color="auto" w:fill="FFFFFF"/>
        <w:spacing w:before="150" w:beforeAutospacing="0" w:after="0" w:afterAutospacing="0" w:line="360" w:lineRule="atLeast"/>
        <w:rPr>
          <w:rFonts w:ascii="仿宋" w:hAnsi="仿宋" w:eastAsia="仿宋" w:cs="Helvetica"/>
          <w:color w:val="333333"/>
          <w:sz w:val="36"/>
          <w:szCs w:val="36"/>
        </w:rPr>
      </w:pPr>
      <w:r>
        <w:rPr>
          <w:rFonts w:hint="eastAsia" w:ascii="仿宋" w:hAnsi="仿宋" w:eastAsia="仿宋" w:cs="Helvetica"/>
          <w:color w:val="333333"/>
          <w:sz w:val="36"/>
          <w:szCs w:val="36"/>
        </w:rPr>
        <w:t>商品和服务支出</w:t>
      </w:r>
      <w:r>
        <w:rPr>
          <w:rFonts w:hint="eastAsia" w:ascii="仿宋" w:hAnsi="仿宋" w:eastAsia="仿宋" w:cs="Helvetica"/>
          <w:color w:val="333333"/>
          <w:sz w:val="36"/>
          <w:szCs w:val="36"/>
          <w:lang w:val="en-US" w:eastAsia="zh-CN"/>
        </w:rPr>
        <w:t>156.04</w:t>
      </w:r>
      <w:r>
        <w:rPr>
          <w:rFonts w:hint="eastAsia" w:ascii="仿宋" w:hAnsi="仿宋" w:eastAsia="仿宋" w:cs="Helvetica"/>
          <w:color w:val="333333"/>
          <w:sz w:val="36"/>
          <w:szCs w:val="36"/>
        </w:rPr>
        <w:t>万元,占基本支出的</w:t>
      </w:r>
      <w:r>
        <w:rPr>
          <w:rFonts w:hint="eastAsia" w:ascii="仿宋" w:hAnsi="仿宋" w:eastAsia="仿宋" w:cs="Helvetica"/>
          <w:color w:val="333333"/>
          <w:sz w:val="36"/>
          <w:szCs w:val="36"/>
          <w:lang w:val="en-US" w:eastAsia="zh-CN"/>
        </w:rPr>
        <w:t>10.82</w:t>
      </w:r>
      <w:r>
        <w:rPr>
          <w:rFonts w:hint="eastAsia" w:ascii="仿宋" w:hAnsi="仿宋" w:eastAsia="仿宋" w:cs="Helvetica"/>
          <w:color w:val="333333"/>
          <w:sz w:val="36"/>
          <w:szCs w:val="36"/>
        </w:rPr>
        <w:t>%；</w:t>
      </w:r>
    </w:p>
    <w:p w14:paraId="2E83CF6A">
      <w:pPr>
        <w:pStyle w:val="4"/>
        <w:shd w:val="clear" w:color="auto" w:fill="FFFFFF"/>
        <w:spacing w:before="150" w:beforeAutospacing="0" w:after="0" w:afterAutospacing="0" w:line="360" w:lineRule="atLeast"/>
        <w:rPr>
          <w:rFonts w:ascii="Helvetica" w:hAnsi="Helvetica" w:cs="Helvetica"/>
          <w:color w:val="333333"/>
        </w:rPr>
      </w:pPr>
    </w:p>
    <w:p w14:paraId="62554E8C">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（三）项目支出情况</w:t>
      </w:r>
    </w:p>
    <w:p w14:paraId="0DCFD617">
      <w:pPr>
        <w:pStyle w:val="4"/>
        <w:shd w:val="clear" w:color="auto" w:fill="FFFFFF"/>
        <w:spacing w:before="150" w:beforeAutospacing="0" w:after="0" w:afterAutospacing="0" w:line="360" w:lineRule="atLeast"/>
        <w:ind w:firstLine="720" w:firstLineChars="200"/>
        <w:rPr>
          <w:rFonts w:ascii="仿宋" w:hAnsi="仿宋" w:eastAsia="仿宋" w:cs="Helvetica"/>
          <w:color w:val="333333"/>
          <w:sz w:val="36"/>
          <w:szCs w:val="36"/>
        </w:rPr>
      </w:pPr>
      <w:r>
        <w:rPr>
          <w:rFonts w:hint="eastAsia" w:ascii="仿宋" w:hAnsi="仿宋" w:eastAsia="仿宋" w:cs="Helvetica"/>
          <w:color w:val="333333"/>
          <w:sz w:val="36"/>
          <w:szCs w:val="36"/>
        </w:rPr>
        <w:t>项目支出是指单位为完成特定行政工作任务或事业发展目标而发生的支出,包括打非治违、宣传教育培训、安全隐患治理、森林防火扑救奖金及宣传费、自然灾害救灾及恢复重建专项等项目。202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年预算安排本局专项资金预算</w:t>
      </w:r>
      <w:r>
        <w:rPr>
          <w:rFonts w:hint="eastAsia" w:ascii="仿宋" w:hAnsi="仿宋" w:eastAsia="仿宋" w:cs="Helvetica"/>
          <w:color w:val="333333"/>
          <w:sz w:val="36"/>
          <w:szCs w:val="36"/>
          <w:lang w:val="en-US" w:eastAsia="zh-CN"/>
        </w:rPr>
        <w:t>95</w:t>
      </w:r>
      <w:r>
        <w:rPr>
          <w:rFonts w:hint="eastAsia" w:ascii="仿宋" w:hAnsi="仿宋" w:eastAsia="仿宋" w:cs="Helvetica"/>
          <w:color w:val="333333"/>
          <w:sz w:val="36"/>
          <w:szCs w:val="36"/>
        </w:rPr>
        <w:t>万元。实际项目支出</w:t>
      </w:r>
      <w:r>
        <w:rPr>
          <w:rFonts w:hint="eastAsia" w:ascii="仿宋" w:hAnsi="仿宋" w:eastAsia="仿宋" w:cs="Helvetica"/>
          <w:color w:val="333333"/>
          <w:sz w:val="36"/>
          <w:szCs w:val="36"/>
          <w:lang w:val="en-US" w:eastAsia="zh-CN"/>
        </w:rPr>
        <w:t>1501.68</w:t>
      </w:r>
      <w:r>
        <w:rPr>
          <w:rFonts w:hint="eastAsia" w:ascii="仿宋" w:hAnsi="仿宋" w:eastAsia="仿宋" w:cs="Helvetica"/>
          <w:color w:val="333333"/>
          <w:sz w:val="36"/>
          <w:szCs w:val="36"/>
        </w:rPr>
        <w:t>万元（包括中央下拨自然灾害救灾</w:t>
      </w:r>
      <w:r>
        <w:rPr>
          <w:rFonts w:hint="eastAsia" w:ascii="仿宋" w:hAnsi="仿宋" w:eastAsia="仿宋" w:cs="Helvetica"/>
          <w:color w:val="333333"/>
          <w:sz w:val="36"/>
          <w:szCs w:val="36"/>
          <w:lang w:val="en-US" w:eastAsia="zh-CN"/>
        </w:rPr>
        <w:t>补助300</w:t>
      </w:r>
      <w:r>
        <w:rPr>
          <w:rFonts w:hint="eastAsia" w:ascii="仿宋" w:hAnsi="仿宋" w:eastAsia="仿宋" w:cs="Helvetica"/>
          <w:color w:val="333333"/>
          <w:sz w:val="36"/>
          <w:szCs w:val="36"/>
        </w:rPr>
        <w:t>万元）。</w:t>
      </w:r>
    </w:p>
    <w:p w14:paraId="5ED1526A">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（四）“三公”经费情况</w:t>
      </w:r>
    </w:p>
    <w:p w14:paraId="3EB6F36B">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“三公经费”为：共计</w:t>
      </w:r>
      <w:r>
        <w:rPr>
          <w:rFonts w:hint="eastAsia" w:ascii="仿宋" w:hAnsi="仿宋" w:eastAsia="仿宋" w:cs="Helvetica"/>
          <w:color w:val="333333"/>
          <w:sz w:val="36"/>
          <w:szCs w:val="36"/>
          <w:lang w:val="en-US" w:eastAsia="zh-CN"/>
        </w:rPr>
        <w:t>5.38</w:t>
      </w:r>
      <w:r>
        <w:rPr>
          <w:rFonts w:hint="eastAsia" w:ascii="仿宋" w:hAnsi="仿宋" w:eastAsia="仿宋" w:cs="Helvetica"/>
          <w:color w:val="333333"/>
          <w:sz w:val="36"/>
          <w:szCs w:val="36"/>
        </w:rPr>
        <w:t>万元，其中公务接待费</w:t>
      </w:r>
      <w:r>
        <w:rPr>
          <w:rFonts w:hint="eastAsia" w:ascii="仿宋" w:hAnsi="仿宋" w:eastAsia="仿宋" w:cs="Helvetica"/>
          <w:color w:val="333333"/>
          <w:sz w:val="36"/>
          <w:szCs w:val="36"/>
          <w:lang w:val="en-US" w:eastAsia="zh-CN"/>
        </w:rPr>
        <w:t>5.38</w:t>
      </w:r>
      <w:r>
        <w:rPr>
          <w:rFonts w:hint="eastAsia" w:ascii="仿宋" w:hAnsi="仿宋" w:eastAsia="仿宋" w:cs="Helvetica"/>
          <w:color w:val="333333"/>
          <w:sz w:val="36"/>
          <w:szCs w:val="36"/>
        </w:rPr>
        <w:t>万元，年初预算为</w:t>
      </w:r>
      <w:r>
        <w:rPr>
          <w:rFonts w:hint="eastAsia" w:ascii="仿宋" w:hAnsi="仿宋" w:eastAsia="仿宋" w:cs="Helvetica"/>
          <w:color w:val="333333"/>
          <w:sz w:val="36"/>
          <w:szCs w:val="36"/>
          <w:lang w:val="en-US" w:eastAsia="zh-CN"/>
        </w:rPr>
        <w:t>18.6</w:t>
      </w:r>
      <w:r>
        <w:rPr>
          <w:rFonts w:hint="eastAsia" w:ascii="仿宋" w:hAnsi="仿宋" w:eastAsia="仿宋" w:cs="Helvetica"/>
          <w:color w:val="333333"/>
          <w:sz w:val="36"/>
          <w:szCs w:val="36"/>
        </w:rPr>
        <w:t>万元，没有超预算，比上年（0万元）</w:t>
      </w:r>
      <w:r>
        <w:rPr>
          <w:rFonts w:hint="eastAsia" w:ascii="仿宋" w:hAnsi="仿宋" w:eastAsia="仿宋" w:cs="Helvetica"/>
          <w:color w:val="333333"/>
          <w:sz w:val="36"/>
          <w:szCs w:val="36"/>
          <w:lang w:val="en-US" w:eastAsia="zh-CN"/>
        </w:rPr>
        <w:t>增加</w:t>
      </w:r>
      <w:r>
        <w:rPr>
          <w:rFonts w:hint="eastAsia" w:ascii="仿宋" w:hAnsi="仿宋" w:eastAsia="仿宋" w:cs="Helvetica"/>
          <w:color w:val="333333"/>
          <w:sz w:val="36"/>
          <w:szCs w:val="36"/>
        </w:rPr>
        <w:t>了</w:t>
      </w:r>
      <w:r>
        <w:rPr>
          <w:rFonts w:hint="eastAsia" w:ascii="仿宋" w:hAnsi="仿宋" w:eastAsia="仿宋" w:cs="Helvetica"/>
          <w:color w:val="333333"/>
          <w:sz w:val="36"/>
          <w:szCs w:val="36"/>
          <w:lang w:val="en-US" w:eastAsia="zh-CN"/>
        </w:rPr>
        <w:t>100</w:t>
      </w:r>
      <w:r>
        <w:rPr>
          <w:rFonts w:hint="eastAsia" w:ascii="仿宋" w:hAnsi="仿宋" w:eastAsia="仿宋" w:cs="Helvetica"/>
          <w:color w:val="333333"/>
          <w:sz w:val="36"/>
          <w:szCs w:val="36"/>
        </w:rPr>
        <w:t>%；公务用车运行维护费0万元，在预算指标之内，</w:t>
      </w:r>
      <w:r>
        <w:rPr>
          <w:rFonts w:hint="eastAsia" w:ascii="仿宋" w:hAnsi="仿宋" w:eastAsia="仿宋" w:cs="Helvetica"/>
          <w:color w:val="333333"/>
          <w:sz w:val="36"/>
          <w:szCs w:val="36"/>
          <w:lang w:val="en-US" w:eastAsia="zh-CN"/>
        </w:rPr>
        <w:t>与</w:t>
      </w:r>
      <w:r>
        <w:rPr>
          <w:rFonts w:hint="eastAsia" w:ascii="仿宋" w:hAnsi="仿宋" w:eastAsia="仿宋" w:cs="Helvetica"/>
          <w:color w:val="333333"/>
          <w:sz w:val="36"/>
          <w:szCs w:val="36"/>
        </w:rPr>
        <w:t>上年度</w:t>
      </w:r>
      <w:r>
        <w:rPr>
          <w:rFonts w:hint="eastAsia" w:ascii="仿宋" w:hAnsi="仿宋" w:eastAsia="仿宋" w:cs="Helvetica"/>
          <w:color w:val="333333"/>
          <w:sz w:val="36"/>
          <w:szCs w:val="36"/>
          <w:lang w:val="en-US" w:eastAsia="zh-CN"/>
        </w:rPr>
        <w:t>持平</w:t>
      </w:r>
      <w:r>
        <w:rPr>
          <w:rFonts w:hint="eastAsia" w:ascii="仿宋" w:hAnsi="仿宋" w:eastAsia="仿宋" w:cs="Helvetica"/>
          <w:color w:val="333333"/>
          <w:sz w:val="36"/>
          <w:szCs w:val="36"/>
        </w:rPr>
        <w:t>，</w:t>
      </w:r>
      <w:r>
        <w:rPr>
          <w:rFonts w:hint="eastAsia" w:ascii="仿宋" w:hAnsi="仿宋" w:eastAsia="仿宋" w:cs="Helvetica"/>
          <w:color w:val="333333"/>
          <w:sz w:val="36"/>
          <w:szCs w:val="36"/>
          <w:lang w:val="en-US" w:eastAsia="zh-CN"/>
        </w:rPr>
        <w:t>因公出国（境）费0万元，</w:t>
      </w:r>
      <w:r>
        <w:rPr>
          <w:rFonts w:hint="eastAsia" w:ascii="仿宋" w:hAnsi="仿宋" w:eastAsia="仿宋" w:cs="Helvetica"/>
          <w:color w:val="333333"/>
          <w:sz w:val="36"/>
          <w:szCs w:val="36"/>
        </w:rPr>
        <w:t>在预算指标之内</w:t>
      </w:r>
      <w:r>
        <w:rPr>
          <w:rFonts w:hint="eastAsia" w:ascii="仿宋" w:hAnsi="仿宋" w:eastAsia="仿宋" w:cs="Helvetica"/>
          <w:color w:val="333333"/>
          <w:sz w:val="36"/>
          <w:szCs w:val="36"/>
          <w:lang w:eastAsia="zh-CN"/>
        </w:rPr>
        <w:t>，</w:t>
      </w:r>
      <w:r>
        <w:rPr>
          <w:rFonts w:hint="eastAsia" w:ascii="仿宋" w:hAnsi="仿宋" w:eastAsia="仿宋" w:cs="Helvetica"/>
          <w:color w:val="333333"/>
          <w:sz w:val="36"/>
          <w:szCs w:val="36"/>
          <w:lang w:val="en-US" w:eastAsia="zh-CN"/>
        </w:rPr>
        <w:t>与</w:t>
      </w:r>
      <w:r>
        <w:rPr>
          <w:rFonts w:hint="eastAsia" w:ascii="仿宋" w:hAnsi="仿宋" w:eastAsia="仿宋" w:cs="Helvetica"/>
          <w:color w:val="333333"/>
          <w:sz w:val="36"/>
          <w:szCs w:val="36"/>
        </w:rPr>
        <w:t>上年度</w:t>
      </w:r>
      <w:r>
        <w:rPr>
          <w:rFonts w:hint="eastAsia" w:ascii="仿宋" w:hAnsi="仿宋" w:eastAsia="仿宋" w:cs="Helvetica"/>
          <w:color w:val="333333"/>
          <w:sz w:val="36"/>
          <w:szCs w:val="36"/>
          <w:lang w:val="en-US" w:eastAsia="zh-CN"/>
        </w:rPr>
        <w:t>持平</w:t>
      </w:r>
      <w:r>
        <w:rPr>
          <w:rFonts w:hint="eastAsia" w:ascii="仿宋" w:hAnsi="仿宋" w:eastAsia="仿宋" w:cs="Helvetica"/>
          <w:color w:val="333333"/>
          <w:sz w:val="36"/>
          <w:szCs w:val="36"/>
        </w:rPr>
        <w:t>。</w:t>
      </w:r>
    </w:p>
    <w:p w14:paraId="632C6BCE">
      <w:pPr>
        <w:pStyle w:val="4"/>
        <w:shd w:val="clear" w:color="auto" w:fill="FFFFFF"/>
        <w:spacing w:before="0" w:beforeAutospacing="0" w:after="0" w:afterAutospacing="0" w:line="360" w:lineRule="atLeast"/>
        <w:ind w:firstLine="645"/>
        <w:rPr>
          <w:rFonts w:cs="Helvetica" w:asciiTheme="majorEastAsia" w:hAnsiTheme="majorEastAsia" w:eastAsiaTheme="majorEastAsia"/>
          <w:color w:val="333333"/>
        </w:rPr>
      </w:pPr>
      <w:r>
        <w:rPr>
          <w:rStyle w:val="7"/>
          <w:rFonts w:hint="eastAsia" w:cs="Helvetica" w:asciiTheme="majorEastAsia" w:hAnsiTheme="majorEastAsia" w:eastAsiaTheme="majorEastAsia"/>
          <w:bCs w:val="0"/>
          <w:color w:val="333333"/>
          <w:sz w:val="36"/>
          <w:szCs w:val="36"/>
        </w:rPr>
        <w:t>三、项目组织实施情况分析</w:t>
      </w:r>
    </w:p>
    <w:p w14:paraId="09271718">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（一）项目组织情况分析</w:t>
      </w:r>
      <w:r>
        <w:rPr>
          <w:rFonts w:hint="eastAsia" w:ascii="仿宋" w:hAnsi="仿宋" w:eastAsia="仿宋" w:cs="Helvetica"/>
          <w:color w:val="333333"/>
          <w:sz w:val="36"/>
          <w:szCs w:val="36"/>
        </w:rPr>
        <w:t>，我局根据《安全生产法》、《湖南省安全生产条例》等法律法规，结合我市安全生产工作的实际情况，对202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度安全生产专项资金工作做了统筹安排，统一部署，明确各股室、中心的职责和工作要求。我局负责组织项目立项的审核、论证，组织编制项目预算及组织实施预算、批复年度项目设计并组织实施、汇总编报项目支出用款计划、监督检查项目执行情况，以及组织项目成果验收和竣工验收等工作。</w:t>
      </w:r>
    </w:p>
    <w:p w14:paraId="128828CE">
      <w:pPr>
        <w:pStyle w:val="4"/>
        <w:shd w:val="clear" w:color="auto" w:fill="FFFFFF"/>
        <w:spacing w:before="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（二）项目管理情况分析</w:t>
      </w:r>
      <w:r>
        <w:rPr>
          <w:rFonts w:hint="eastAsia" w:ascii="仿宋" w:hAnsi="仿宋" w:eastAsia="仿宋" w:cs="Helvetica"/>
          <w:color w:val="333333"/>
          <w:sz w:val="36"/>
          <w:szCs w:val="36"/>
        </w:rPr>
        <w:t>，我局根据《湖南省安全生产专项资金管理办法》和《常宁市资金使用管理办法》的要求申报项目立项，设立相关的组织机构，制定了项目管理相关的各项规章制度，有序组织项目的实施。我局每年对安全生产专项资金使用情况进行绩效考评，不断改善、强化项目管理，促进全市安全生产工作的开展。</w:t>
      </w:r>
    </w:p>
    <w:p w14:paraId="7BBF0C2A">
      <w:pPr>
        <w:pStyle w:val="4"/>
        <w:shd w:val="clear" w:color="auto" w:fill="FFFFFF"/>
        <w:spacing w:before="0" w:beforeAutospacing="0" w:after="0" w:afterAutospacing="0" w:line="360" w:lineRule="atLeast"/>
        <w:ind w:firstLine="645"/>
        <w:rPr>
          <w:rFonts w:cs="Helvetica" w:asciiTheme="majorEastAsia" w:hAnsiTheme="majorEastAsia" w:eastAsiaTheme="majorEastAsia"/>
          <w:color w:val="333333"/>
        </w:rPr>
      </w:pPr>
      <w:r>
        <w:rPr>
          <w:rStyle w:val="7"/>
          <w:rFonts w:hint="eastAsia" w:cs="Helvetica" w:asciiTheme="majorEastAsia" w:hAnsiTheme="majorEastAsia" w:eastAsiaTheme="majorEastAsia"/>
          <w:bCs w:val="0"/>
          <w:color w:val="333333"/>
          <w:sz w:val="36"/>
          <w:szCs w:val="36"/>
        </w:rPr>
        <w:t>四、部门整体支出绩效情况分析</w:t>
      </w:r>
    </w:p>
    <w:p w14:paraId="5C0A113A">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对照常宁市有关文件规定的考核指标,我局从预算编制、预算配置、预算执行和管理等方面对202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年部门整体支出绩效开展了评价,具体情况如下:</w:t>
      </w:r>
    </w:p>
    <w:p w14:paraId="027D7D8B">
      <w:pPr>
        <w:pStyle w:val="4"/>
        <w:shd w:val="clear" w:color="auto" w:fill="FFFFFF"/>
        <w:spacing w:before="150" w:beforeAutospacing="0" w:after="0" w:afterAutospacing="0" w:line="360" w:lineRule="atLeast"/>
        <w:ind w:firstLine="723" w:firstLineChars="200"/>
        <w:rPr>
          <w:rFonts w:ascii="Helvetica" w:hAnsi="Helvetica" w:cs="Helvetica"/>
          <w:color w:val="333333"/>
        </w:rPr>
      </w:pPr>
      <w:r>
        <w:rPr>
          <w:rFonts w:hint="eastAsia" w:ascii="仿宋" w:hAnsi="仿宋" w:eastAsia="仿宋" w:cs="Helvetica"/>
          <w:b/>
          <w:color w:val="333333"/>
          <w:sz w:val="36"/>
          <w:szCs w:val="36"/>
        </w:rPr>
        <w:t>1、预算配置指标</w:t>
      </w:r>
      <w:r>
        <w:rPr>
          <w:rFonts w:hint="eastAsia" w:ascii="仿宋" w:hAnsi="仿宋" w:eastAsia="仿宋" w:cs="Helvetica"/>
          <w:color w:val="333333"/>
          <w:sz w:val="36"/>
          <w:szCs w:val="36"/>
        </w:rPr>
        <w:t>。我局三公经费本年预算数</w:t>
      </w:r>
      <w:r>
        <w:rPr>
          <w:rFonts w:hint="eastAsia" w:ascii="仿宋" w:hAnsi="仿宋" w:eastAsia="仿宋" w:cs="Helvetica"/>
          <w:color w:val="333333"/>
          <w:sz w:val="36"/>
          <w:szCs w:val="36"/>
          <w:lang w:val="en-US" w:eastAsia="zh-CN"/>
        </w:rPr>
        <w:t>16.8</w:t>
      </w:r>
      <w:r>
        <w:rPr>
          <w:rFonts w:hint="eastAsia" w:ascii="仿宋" w:hAnsi="仿宋" w:eastAsia="仿宋" w:cs="Helvetica"/>
          <w:color w:val="333333"/>
          <w:sz w:val="36"/>
          <w:szCs w:val="36"/>
        </w:rPr>
        <w:t>万元,控制较好。</w:t>
      </w:r>
    </w:p>
    <w:p w14:paraId="469BEEE7">
      <w:pPr>
        <w:pStyle w:val="4"/>
        <w:shd w:val="clear" w:color="auto" w:fill="FFFFFF"/>
        <w:spacing w:before="150" w:beforeAutospacing="0" w:after="0" w:afterAutospacing="0" w:line="360" w:lineRule="atLeast"/>
        <w:ind w:firstLine="723" w:firstLineChars="200"/>
        <w:rPr>
          <w:rFonts w:ascii="Helvetica" w:hAnsi="Helvetica" w:cs="Helvetica"/>
          <w:color w:val="333333"/>
        </w:rPr>
      </w:pPr>
      <w:r>
        <w:rPr>
          <w:rFonts w:hint="eastAsia" w:ascii="仿宋" w:hAnsi="仿宋" w:eastAsia="仿宋" w:cs="Helvetica"/>
          <w:b/>
          <w:color w:val="333333"/>
          <w:sz w:val="36"/>
          <w:szCs w:val="36"/>
        </w:rPr>
        <w:t>2、预算执行指标</w:t>
      </w:r>
      <w:r>
        <w:rPr>
          <w:rFonts w:hint="eastAsia" w:ascii="仿宋" w:hAnsi="仿宋" w:eastAsia="仿宋" w:cs="Helvetica"/>
          <w:color w:val="333333"/>
          <w:sz w:val="36"/>
          <w:szCs w:val="36"/>
        </w:rPr>
        <w:t>。202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年年初预算1705.43万元,本年结余0万元,预算完成率100%,预算控制率为100%。　</w:t>
      </w:r>
    </w:p>
    <w:p w14:paraId="044705A2">
      <w:pPr>
        <w:pStyle w:val="4"/>
        <w:shd w:val="clear" w:color="auto" w:fill="FFFFFF"/>
        <w:spacing w:before="150" w:beforeAutospacing="0" w:after="0" w:afterAutospacing="0" w:line="360" w:lineRule="atLeast"/>
        <w:ind w:firstLine="723" w:firstLineChars="200"/>
        <w:rPr>
          <w:rFonts w:ascii="Helvetica" w:hAnsi="Helvetica" w:cs="Helvetica"/>
          <w:b/>
          <w:color w:val="333333"/>
        </w:rPr>
      </w:pPr>
      <w:r>
        <w:rPr>
          <w:rFonts w:hint="eastAsia" w:ascii="仿宋" w:hAnsi="仿宋" w:eastAsia="仿宋" w:cs="Helvetica"/>
          <w:b/>
          <w:color w:val="333333"/>
          <w:sz w:val="36"/>
          <w:szCs w:val="36"/>
        </w:rPr>
        <w:t>3、预算管理指标</w:t>
      </w:r>
    </w:p>
    <w:p w14:paraId="3ED8652E">
      <w:pPr>
        <w:pStyle w:val="4"/>
        <w:shd w:val="clear" w:color="auto" w:fill="FFFFFF"/>
        <w:spacing w:before="150" w:beforeAutospacing="0" w:after="0" w:afterAutospacing="0" w:line="360" w:lineRule="atLeast"/>
        <w:ind w:firstLine="720" w:firstLineChars="200"/>
        <w:rPr>
          <w:rFonts w:ascii="Helvetica" w:hAnsi="Helvetica" w:cs="Helvetica"/>
          <w:b/>
          <w:color w:val="333333"/>
        </w:rPr>
      </w:pPr>
      <w:r>
        <w:rPr>
          <w:rFonts w:hint="eastAsia" w:ascii="仿宋" w:hAnsi="仿宋" w:eastAsia="仿宋" w:cs="Helvetica"/>
          <w:color w:val="333333"/>
          <w:sz w:val="36"/>
          <w:szCs w:val="36"/>
        </w:rPr>
        <w:t>(1)202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年我局预算安排 “三公”经费预算安排数</w:t>
      </w:r>
      <w:r>
        <w:rPr>
          <w:rFonts w:ascii="仿宋" w:hAnsi="仿宋" w:eastAsia="仿宋" w:cs="Helvetica"/>
          <w:color w:val="333333"/>
          <w:sz w:val="36"/>
          <w:szCs w:val="36"/>
        </w:rPr>
        <w:t>16.8</w:t>
      </w:r>
      <w:r>
        <w:rPr>
          <w:rFonts w:hint="eastAsia" w:ascii="仿宋" w:hAnsi="仿宋" w:eastAsia="仿宋" w:cs="Helvetica"/>
          <w:color w:val="333333"/>
          <w:sz w:val="36"/>
          <w:szCs w:val="36"/>
        </w:rPr>
        <w:t>万元,实际支出数为</w:t>
      </w:r>
      <w:r>
        <w:rPr>
          <w:rFonts w:hint="eastAsia" w:ascii="仿宋" w:hAnsi="仿宋" w:eastAsia="仿宋" w:cs="Helvetica"/>
          <w:color w:val="333333"/>
          <w:sz w:val="36"/>
          <w:szCs w:val="36"/>
          <w:lang w:val="en-US" w:eastAsia="zh-CN"/>
        </w:rPr>
        <w:t>5.38</w:t>
      </w:r>
      <w:r>
        <w:rPr>
          <w:rFonts w:hint="eastAsia" w:ascii="仿宋" w:hAnsi="仿宋" w:eastAsia="仿宋" w:cs="Helvetica"/>
          <w:color w:val="333333"/>
          <w:sz w:val="36"/>
          <w:szCs w:val="36"/>
        </w:rPr>
        <w:t>万元“三公”经费控制率为100%。</w:t>
      </w:r>
    </w:p>
    <w:p w14:paraId="01758DB0">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(2)202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我局开展了内控制度建设,针对内部控制缺陷,完善了《常宁市应急管理局经费支出管理制度》《预决算管理制度》《固定资产管理制度》《资金管理制度》《采购管理制度》《工程项目管理制度》《合同管理制度》《公务卡结算管理制度》等8个制度。从实际执行情况看,机关经费的归口管理、支出审批管理、收入管理、资产管理、单项工作的预算管理与执行等已取得明显的效果。</w:t>
      </w:r>
    </w:p>
    <w:p w14:paraId="54E07F0C">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(3)我局依据</w:t>
      </w:r>
      <w:r>
        <w:rPr>
          <w:rFonts w:hint="eastAsia" w:ascii="仿宋" w:hAnsi="仿宋" w:eastAsia="仿宋" w:cs="Helvetica"/>
          <w:color w:val="333333"/>
          <w:sz w:val="36"/>
          <w:szCs w:val="36"/>
          <w:lang w:eastAsia="zh-CN"/>
        </w:rPr>
        <w:t>《中华人民共和国政府信息公开条例》</w:t>
      </w:r>
      <w:r>
        <w:rPr>
          <w:rFonts w:hint="eastAsia" w:ascii="仿宋" w:hAnsi="仿宋" w:eastAsia="仿宋" w:cs="Helvetica"/>
          <w:color w:val="333333"/>
          <w:sz w:val="36"/>
          <w:szCs w:val="36"/>
        </w:rPr>
        <w:t>在常宁市党政门户网开设有“信息公开”专栏,及时将各年预算、决算、“三公”经费、绩效评价等公众关注关心的重要信息面向社会公开。</w:t>
      </w:r>
    </w:p>
    <w:p w14:paraId="2D2479CA">
      <w:pPr>
        <w:pStyle w:val="4"/>
        <w:shd w:val="clear" w:color="auto" w:fill="FFFFFF"/>
        <w:spacing w:before="150" w:beforeAutospacing="0" w:after="0" w:afterAutospacing="0" w:line="360" w:lineRule="atLeast"/>
        <w:ind w:firstLine="645"/>
        <w:rPr>
          <w:rFonts w:hint="eastAsia" w:ascii="仿宋" w:hAnsi="仿宋" w:eastAsia="仿宋"/>
          <w:b/>
          <w:color w:val="333333"/>
          <w:sz w:val="36"/>
          <w:szCs w:val="36"/>
          <w:shd w:val="clear" w:color="auto" w:fill="FFFFFF"/>
        </w:rPr>
      </w:pPr>
      <w:r>
        <w:rPr>
          <w:rFonts w:hint="eastAsia" w:ascii="仿宋" w:hAnsi="仿宋" w:eastAsia="仿宋"/>
          <w:b/>
          <w:color w:val="333333"/>
          <w:sz w:val="36"/>
          <w:szCs w:val="36"/>
          <w:shd w:val="clear" w:color="auto" w:fill="FFFFFF"/>
        </w:rPr>
        <w:t>4、职责履行</w:t>
      </w:r>
    </w:p>
    <w:p w14:paraId="50FD4A3F">
      <w:pPr>
        <w:spacing w:line="580" w:lineRule="exact"/>
        <w:ind w:firstLine="720" w:firstLineChars="200"/>
        <w:rPr>
          <w:rFonts w:ascii="仿宋_GB2312" w:hAnsi="仿宋_GB2312" w:eastAsia="仿宋_GB2312" w:cs="仿宋_GB2312"/>
          <w:sz w:val="32"/>
          <w:szCs w:val="32"/>
        </w:rPr>
      </w:pPr>
      <w:r>
        <w:rPr>
          <w:rFonts w:hint="eastAsia" w:ascii="仿宋_GB2312" w:hAnsi="仿宋_GB2312" w:eastAsia="仿宋_GB2312" w:cs="仿宋_GB2312"/>
          <w:sz w:val="36"/>
          <w:szCs w:val="36"/>
        </w:rPr>
        <w:t>今年来，应急管理工作在市委、市政府的正确领导下，在衡阳市应急管理部门的精心指导下，坚决贯彻落实国家、省、衡阳市及本市关于应急管理和安全生产的重大决策部署，围绕“三坚决两确保”的总体目标，牢树红线意识，健全责任体系，以深入开展安全生产专项整治三年行动为主线，全面加强安全监管，深化隐患排查治理，持续开展“打非治违”行动，高效推进森林防灭火、防汛抗旱、防灾减灾救灾等应急管理工作，全市安全生产和防灾减灾形势保持平稳态势</w:t>
      </w:r>
      <w:r>
        <w:rPr>
          <w:rFonts w:hint="eastAsia" w:ascii="仿宋_GB2312" w:hAnsi="仿宋_GB2312" w:eastAsia="仿宋_GB2312" w:cs="仿宋_GB2312"/>
          <w:sz w:val="32"/>
          <w:szCs w:val="32"/>
        </w:rPr>
        <w:t>。</w:t>
      </w:r>
    </w:p>
    <w:p w14:paraId="3204E888">
      <w:pPr>
        <w:widowControl/>
        <w:adjustRightInd w:val="0"/>
        <w:snapToGrid w:val="0"/>
        <w:spacing w:line="580" w:lineRule="exact"/>
        <w:ind w:firstLine="643" w:firstLineChars="200"/>
        <w:rPr>
          <w:rFonts w:ascii="黑体" w:hAnsi="黑体" w:eastAsia="黑体"/>
          <w:b/>
          <w:kern w:val="0"/>
          <w:sz w:val="32"/>
          <w:szCs w:val="32"/>
        </w:rPr>
      </w:pPr>
      <w:r>
        <w:rPr>
          <w:rFonts w:hint="eastAsia" w:ascii="黑体" w:hAnsi="黑体" w:eastAsia="黑体"/>
          <w:b/>
          <w:kern w:val="0"/>
          <w:sz w:val="32"/>
          <w:szCs w:val="32"/>
        </w:rPr>
        <w:t>一、工作开展情况</w:t>
      </w:r>
    </w:p>
    <w:p w14:paraId="6594DCD2">
      <w:pPr>
        <w:widowControl/>
        <w:adjustRightInd w:val="0"/>
        <w:snapToGrid w:val="0"/>
        <w:spacing w:line="580" w:lineRule="exact"/>
        <w:ind w:firstLine="643" w:firstLineChars="200"/>
        <w:rPr>
          <w:rFonts w:hint="eastAsia" w:ascii="仿宋" w:hAnsi="仿宋" w:eastAsia="仿宋" w:cs="仿宋"/>
          <w:kern w:val="0"/>
          <w:sz w:val="36"/>
          <w:szCs w:val="36"/>
        </w:rPr>
      </w:pPr>
      <w:r>
        <w:rPr>
          <w:rFonts w:hint="eastAsia" w:ascii="仿宋" w:hAnsi="仿宋" w:eastAsia="仿宋" w:cs="仿宋"/>
          <w:b/>
          <w:kern w:val="0"/>
          <w:sz w:val="32"/>
          <w:szCs w:val="32"/>
        </w:rPr>
        <w:t>（一）扎实开展各类专项整治行动。一是安全生产专项整治三年行动。</w:t>
      </w:r>
      <w:r>
        <w:rPr>
          <w:rFonts w:hint="eastAsia" w:ascii="仿宋" w:hAnsi="仿宋" w:eastAsia="仿宋" w:cs="仿宋"/>
          <w:kern w:val="0"/>
          <w:sz w:val="36"/>
          <w:szCs w:val="36"/>
        </w:rPr>
        <w:t>今年来，我市以三年行动为重要抓手，坚持立查立改、边查边改，严格按照省、衡阳市统一部署，建立突出问题清单、重大隐患清单、制度措施清单和工作进展汇总表，以挂图作战的方式推进三年行动。同时，市委市政府出台了《常宁市安全生产隐患问题排查治理和监督管理实施办法（试行）》，推动隐患排查治理整改销号的闭环管理。扎实开展隐患排查治理，全年共排查重大安全隐患56处，已整改51处；共发现突出问题18个，已整改14个，制定制度措施34条，发现非法违法行为1181起，立案调查267起，责令停产停业整顿47处，取缔关闭17处，经济处罚1232.9万，行刑衔接移送司法20人。市安委办共下发督办函35份，集中交办函2份，督促全市隐患整改落实到位，促进三年行动纵深开展。</w:t>
      </w:r>
      <w:r>
        <w:rPr>
          <w:rFonts w:hint="eastAsia" w:ascii="仿宋" w:hAnsi="仿宋" w:eastAsia="仿宋" w:cs="仿宋"/>
          <w:b/>
          <w:kern w:val="0"/>
          <w:sz w:val="36"/>
          <w:szCs w:val="36"/>
        </w:rPr>
        <w:t>二是“强执法防事故”行动。</w:t>
      </w:r>
      <w:r>
        <w:rPr>
          <w:rFonts w:hint="eastAsia" w:ascii="仿宋" w:hAnsi="仿宋" w:eastAsia="仿宋" w:cs="仿宋"/>
          <w:kern w:val="0"/>
          <w:sz w:val="36"/>
          <w:szCs w:val="36"/>
        </w:rPr>
        <w:t>制定了《2021年度常宁市应急管理局安全生产监督检查计划》，坚持全覆盖、零容忍、严执法、重实效，部门联动，重拳执法，紧密结合安全生产专项整治三年行动，持续深入开展安全监管“强执法防事故”行动，形成了高压严管态势，倒逼企业落实主体责任，坚决遏制事故发生。截至目前，我局安全生产监督检查共下达执法文书7074份，立案70起，行政处罚42起，罚款55.33万元。</w:t>
      </w:r>
      <w:r>
        <w:rPr>
          <w:rFonts w:hint="eastAsia" w:ascii="仿宋" w:hAnsi="仿宋" w:eastAsia="仿宋" w:cs="仿宋"/>
          <w:b/>
          <w:kern w:val="0"/>
          <w:sz w:val="36"/>
          <w:szCs w:val="36"/>
        </w:rPr>
        <w:t>三是打非治违行动。</w:t>
      </w:r>
      <w:r>
        <w:rPr>
          <w:rFonts w:hint="eastAsia" w:ascii="仿宋" w:hAnsi="仿宋" w:eastAsia="仿宋" w:cs="仿宋"/>
          <w:kern w:val="0"/>
          <w:sz w:val="36"/>
          <w:szCs w:val="36"/>
        </w:rPr>
        <w:t>非煤矿山领域，市自然资源、环保、应急、林业、水利等相关部门对西岭、白沙镇非法采砂进行集中整治，共开展联合执法13次，出动执法人员310余人次，按照“两断三清”原则，关闭取缔非法砂场18个、选厂5个，捣毁厂房7处，收缴机械设备10余台，拆除全部生产机械设备，遣散从业人员500余人。烟花爆竹领域，共开展打非治违行动67次，出动执法人员600余人，查处烟花仓库13家，取缔非法经营户154家，没收烟花5000余件，鞭炮5738件，查处非法运输烟花爆竹案2起，移送公安机关行政拘留2人。危险化学品领域，我局组织执法力量，对烟州镇通达、顺畅2家未依法取得《危险化学品经营许可证》的加油站，采取了停止经营供电的强制措施，自行拆除相关设施设备。</w:t>
      </w:r>
    </w:p>
    <w:p w14:paraId="07EE3B1B">
      <w:pPr>
        <w:widowControl/>
        <w:adjustRightInd w:val="0"/>
        <w:snapToGrid w:val="0"/>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（二）全面做好防汛备汛工作。</w:t>
      </w:r>
      <w:r>
        <w:rPr>
          <w:rFonts w:hint="eastAsia" w:ascii="仿宋" w:hAnsi="仿宋" w:eastAsia="仿宋" w:cs="仿宋"/>
          <w:kern w:val="0"/>
          <w:sz w:val="36"/>
          <w:szCs w:val="36"/>
        </w:rPr>
        <w:t>为做好强降雨防范应对工作，市防办统筹谋划，科学调度，组织召开专题调度会和部门会商会6次，安排部署防汛备汛工作。全面开展隐患排查，重点抓好防汛物资储备，全力确保了防汛形势平稳可控。目前，洋泉水库、西塘水库、梅埠桥水库3个中型水库蓄水量分别占正常蓄水86.6%、85.4%、83.3%，均在警戒水位以下。为安全度汛，全市共建立了3个市级防汛物资储备点，24个乡镇级防汛物资储备点、共储备编织袋15万余条、彩条布5万m2，冲锋舟11艘，橡皮艇10艘，砂石料2万m3等防汛抢险物资。</w:t>
      </w:r>
    </w:p>
    <w:p w14:paraId="605BF8D9">
      <w:pPr>
        <w:widowControl/>
        <w:adjustRightInd w:val="0"/>
        <w:snapToGrid w:val="0"/>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（三）深入开展森林防灭火和消防安全专项整治。森林防灭火工作，</w:t>
      </w:r>
      <w:r>
        <w:rPr>
          <w:rFonts w:hint="eastAsia" w:ascii="仿宋" w:hAnsi="仿宋" w:eastAsia="仿宋" w:cs="仿宋"/>
          <w:kern w:val="0"/>
          <w:sz w:val="36"/>
          <w:szCs w:val="36"/>
        </w:rPr>
        <w:t>今年市财政共投入110万元，用于割灌除草工作，全市各乡镇共开设隔离带20.2万米，割灌除草116万平方米，未发生较大影响森林火灾事故。森防指办开展森林防火专项督查4次，指挥调度扑救山火20余次，出动应急救援1000人次，切实做到“打早、打少、打了”，联合森林公安查处野外违规用火行为2起、刑事拘留1人、移送纪监委责任追究3人，有效震慑了野外违规用火行为，确保了全市森林防灭火工作形势。</w:t>
      </w:r>
      <w:r>
        <w:rPr>
          <w:rFonts w:hint="eastAsia" w:ascii="仿宋" w:hAnsi="仿宋" w:eastAsia="仿宋" w:cs="仿宋"/>
          <w:b/>
          <w:kern w:val="0"/>
          <w:sz w:val="36"/>
          <w:szCs w:val="36"/>
        </w:rPr>
        <w:t>消防安全工作，</w:t>
      </w:r>
      <w:r>
        <w:rPr>
          <w:rFonts w:hint="eastAsia" w:ascii="仿宋" w:hAnsi="仿宋" w:eastAsia="仿宋" w:cs="仿宋"/>
          <w:kern w:val="0"/>
          <w:sz w:val="36"/>
          <w:szCs w:val="36"/>
        </w:rPr>
        <w:t>为深刻汲取“2·1”消防火灾事故教训，春节前市消安委组织全市各级各部门开展了为期2个月的九小场所消防安全专项整治，共检查九小场所3117家，发现并整改火灾隐患2924处，责令“三停”6家，查封1家，罚款19.55万元，并对5处重大火灾隐患提请市政府进行挂牌；当前，按照省、衡阳市统一部署，消防领域正在开展为期2年的“多合一”场所整治，市安委会下发了多合一场所整治方案，明确了整治目标、内容和时间，全市各乡镇各部门正在积极开展相关行动，截至目前，共检查1058家“多合一”场所。</w:t>
      </w:r>
    </w:p>
    <w:p w14:paraId="6581012C">
      <w:pPr>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（四）深化重点行业专项整治。</w:t>
      </w:r>
      <w:r>
        <w:rPr>
          <w:rFonts w:hint="eastAsia" w:ascii="仿宋" w:hAnsi="仿宋" w:eastAsia="仿宋" w:cs="仿宋"/>
          <w:kern w:val="0"/>
          <w:sz w:val="36"/>
          <w:szCs w:val="36"/>
        </w:rPr>
        <w:t>我局制定非煤矿山行业、工贸行业安全生产专项整治三年行动方案，持续深入开展粉尘防爆、有限空间作业等安全生产专项整治行动，重点突出源头治理、管控重大安全风险。专项整治行动查出安全隐患30条，对排查发现的问题隐患建立台账限期整改，重大安全隐患严格按照“一单四制”的要求，及时整改到位，整改率100%。专项整治工作，进一步推动了安全监管责任和企业主体责任的落实，确保了二大行业安全生产形势稳定向好。</w:t>
      </w:r>
    </w:p>
    <w:p w14:paraId="60581A57">
      <w:pPr>
        <w:widowControl/>
        <w:adjustRightInd w:val="0"/>
        <w:snapToGrid w:val="0"/>
        <w:spacing w:line="580" w:lineRule="exact"/>
        <w:ind w:firstLine="723" w:firstLineChars="200"/>
        <w:rPr>
          <w:rFonts w:hint="eastAsia" w:ascii="仿宋" w:hAnsi="仿宋" w:eastAsia="仿宋" w:cs="仿宋"/>
          <w:b/>
          <w:kern w:val="0"/>
          <w:sz w:val="36"/>
          <w:szCs w:val="36"/>
        </w:rPr>
      </w:pPr>
      <w:r>
        <w:rPr>
          <w:rFonts w:hint="eastAsia" w:ascii="仿宋" w:hAnsi="仿宋" w:eastAsia="仿宋" w:cs="仿宋"/>
          <w:b/>
          <w:kern w:val="0"/>
          <w:sz w:val="36"/>
          <w:szCs w:val="36"/>
        </w:rPr>
        <w:t>（五）全面启动自然灾害风险普查</w:t>
      </w:r>
    </w:p>
    <w:p w14:paraId="7B11EECE">
      <w:pPr>
        <w:spacing w:line="560" w:lineRule="exact"/>
        <w:ind w:firstLine="666" w:firstLineChars="185"/>
        <w:rPr>
          <w:rFonts w:hint="eastAsia" w:ascii="仿宋" w:hAnsi="仿宋" w:eastAsia="仿宋" w:cs="仿宋"/>
          <w:sz w:val="36"/>
          <w:szCs w:val="36"/>
        </w:rPr>
      </w:pPr>
      <w:r>
        <w:rPr>
          <w:rFonts w:hint="eastAsia" w:ascii="仿宋" w:hAnsi="仿宋" w:eastAsia="仿宋" w:cs="仿宋"/>
          <w:color w:val="000000"/>
          <w:kern w:val="0"/>
          <w:sz w:val="36"/>
          <w:szCs w:val="36"/>
        </w:rPr>
        <w:t>根据国务院、省、市安排和要求，我市政府主要领导高度重视普查工作，第一时间成立了由市委常委、常务副市长任组长，分管副市长任常务副组长的自然灾害风险普查领导小组，印发了《常宁市人民政府办公室关于开展第一次全国自然灾害综合风险普查的通知》（常政办函〔2021〕1号），于2月24日在市政府9楼召开了全市普查工作动员会。按照“统一领导、分工协作、分级负责、共同参与”的原则，设立了自然灾害综合风险普查办公室，切实形成了普查工作统筹协调的强劲态势。我市已出台制定了《常宁市第一次全国自然灾害综合风险普查实施细则》，市财政解决普查工作专项经费90万元。通过对承灾体的全面调查，录入上传信息2298条，目前我市自然灾害综合风险普查进入质检阶段，普查工作正有序开展。</w:t>
      </w:r>
    </w:p>
    <w:p w14:paraId="762F3D28">
      <w:pPr>
        <w:widowControl/>
        <w:adjustRightInd w:val="0"/>
        <w:snapToGrid w:val="0"/>
        <w:spacing w:line="580" w:lineRule="exact"/>
        <w:ind w:firstLine="542" w:firstLineChars="150"/>
        <w:rPr>
          <w:rFonts w:hint="eastAsia" w:ascii="仿宋" w:hAnsi="仿宋" w:eastAsia="仿宋" w:cs="仿宋"/>
          <w:b/>
          <w:kern w:val="0"/>
          <w:sz w:val="36"/>
          <w:szCs w:val="36"/>
        </w:rPr>
      </w:pPr>
      <w:r>
        <w:rPr>
          <w:rFonts w:hint="eastAsia" w:ascii="仿宋" w:hAnsi="仿宋" w:eastAsia="仿宋" w:cs="仿宋"/>
          <w:b/>
          <w:kern w:val="0"/>
          <w:sz w:val="36"/>
          <w:szCs w:val="36"/>
        </w:rPr>
        <w:t>（六）扎实开展乡镇应急能力建设</w:t>
      </w:r>
    </w:p>
    <w:p w14:paraId="78179853">
      <w:pPr>
        <w:widowControl/>
        <w:adjustRightInd w:val="0"/>
        <w:snapToGrid w:val="0"/>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sz w:val="36"/>
          <w:szCs w:val="36"/>
        </w:rPr>
        <w:t>一是启动应急能力建设。</w:t>
      </w:r>
      <w:r>
        <w:rPr>
          <w:rFonts w:hint="eastAsia" w:ascii="仿宋" w:hAnsi="仿宋" w:eastAsia="仿宋" w:cs="仿宋"/>
          <w:sz w:val="36"/>
          <w:szCs w:val="36"/>
        </w:rPr>
        <w:t>根据全省乡镇应急能力“六有”“四延”建设要求，我市于2020年12月启动了洋泉、烟洲、荫田、白沙、罗桥、三角塘、庙前、弥泉林场8个单位为第一批乡镇应急能力建设，今年6月，顺利通过省、市验收，形成推广、复制经验。第二批10个乡镇，第三批6个乡镇将于今明两年全部建设到位。稳步推进乡镇应急能力建设。</w:t>
      </w:r>
      <w:r>
        <w:rPr>
          <w:rFonts w:hint="eastAsia" w:ascii="仿宋" w:hAnsi="仿宋" w:eastAsia="仿宋" w:cs="仿宋"/>
          <w:b/>
          <w:sz w:val="36"/>
          <w:szCs w:val="36"/>
        </w:rPr>
        <w:t>二是配备应急物资装备。</w:t>
      </w:r>
      <w:r>
        <w:rPr>
          <w:rFonts w:hint="eastAsia" w:ascii="仿宋" w:hAnsi="仿宋" w:eastAsia="仿宋" w:cs="仿宋"/>
          <w:sz w:val="36"/>
          <w:szCs w:val="36"/>
        </w:rPr>
        <w:t>市政府常务会研究决定，乡镇应急能力建设按每个乡镇20万元的标准，统一招标，采购配备应急物资、装备，充实基层应急能力建设。</w:t>
      </w:r>
      <w:r>
        <w:rPr>
          <w:rFonts w:hint="eastAsia" w:ascii="仿宋" w:hAnsi="仿宋" w:eastAsia="仿宋" w:cs="仿宋"/>
          <w:b/>
          <w:sz w:val="36"/>
          <w:szCs w:val="36"/>
        </w:rPr>
        <w:t>三是强化应急救援演练。</w:t>
      </w:r>
      <w:r>
        <w:rPr>
          <w:rFonts w:hint="eastAsia" w:ascii="仿宋" w:hAnsi="仿宋" w:eastAsia="仿宋" w:cs="仿宋"/>
          <w:sz w:val="36"/>
          <w:szCs w:val="36"/>
        </w:rPr>
        <w:t>为提升应急救援能力，我局成立了由30人组成的应急救援队伍，各乡镇组建了20人的半专业队伍，实行应急救援队伍共建共训。不定期开展防汛防灭火等各种演练和体能训练，全年共开展演练26次、体能技能训练50余次。</w:t>
      </w:r>
    </w:p>
    <w:p w14:paraId="035141D1">
      <w:pPr>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（七）深入开展“安全生产月”活动。</w:t>
      </w:r>
      <w:r>
        <w:rPr>
          <w:rFonts w:hint="eastAsia" w:ascii="仿宋" w:hAnsi="仿宋" w:eastAsia="仿宋" w:cs="仿宋"/>
          <w:kern w:val="0"/>
          <w:sz w:val="36"/>
          <w:szCs w:val="36"/>
        </w:rPr>
        <w:t>今年6月是全国第20个“安全生产月”，我市围绕“落实安全责任，推动安全发展”的主题，开展一系列的活动。6月16日组织27个安委员成员单位和街道在市政府广场开展 “安全生产月咨询日”活动，设立咨询台27个，接受群众安全生产和应急知识咨询200余次，发放宣传资料10000余份、文化衫宣传礼品1000余件；现场演示了无人机定点投放救生绳、抛投器抛投救生圈、灭火器使用、液化气瓶燃烧处置等。6月份，我局综合应急救援队与人武部民兵应急连开展了为期11天的应急救援训练，对“封堵管涌”、“水上孤岛救援”进行了演练。6月18日，组织党员开展“我为群众办实事”主题党日活动，30名党员到塔山乡阳山村宣讲安全生产，进村入户发放安全生产宣传资料500余份。通过集中宣传、应急演练、网络知识竞赛等各种形式，全面推进“安全生产月”“安全生产衡州行”活动和安全宣传“五进”等活动，进一步营造浓厚氛围，提升全民安全意识。</w:t>
      </w:r>
    </w:p>
    <w:p w14:paraId="1052A8FF">
      <w:pPr>
        <w:spacing w:line="580" w:lineRule="exact"/>
        <w:ind w:firstLine="723" w:firstLineChars="200"/>
        <w:rPr>
          <w:rFonts w:hint="eastAsia" w:ascii="仿宋" w:hAnsi="仿宋" w:eastAsia="仿宋" w:cs="仿宋"/>
          <w:b/>
          <w:kern w:val="0"/>
          <w:sz w:val="36"/>
          <w:szCs w:val="36"/>
        </w:rPr>
      </w:pPr>
      <w:r>
        <w:rPr>
          <w:rFonts w:hint="eastAsia" w:ascii="仿宋" w:hAnsi="仿宋" w:eastAsia="仿宋" w:cs="仿宋"/>
          <w:b/>
          <w:kern w:val="0"/>
          <w:sz w:val="36"/>
          <w:szCs w:val="36"/>
        </w:rPr>
        <w:t>（八）建立健全应急预案体系</w:t>
      </w:r>
    </w:p>
    <w:p w14:paraId="7783ED0F">
      <w:pPr>
        <w:pStyle w:val="10"/>
        <w:ind w:firstLine="720" w:firstLineChars="200"/>
        <w:rPr>
          <w:rFonts w:hint="eastAsia" w:ascii="仿宋" w:hAnsi="仿宋" w:eastAsia="仿宋" w:cs="仿宋"/>
          <w:kern w:val="0"/>
          <w:sz w:val="36"/>
          <w:szCs w:val="36"/>
        </w:rPr>
      </w:pPr>
      <w:r>
        <w:rPr>
          <w:rFonts w:hint="eastAsia" w:ascii="仿宋" w:hAnsi="仿宋" w:eastAsia="仿宋" w:cs="仿宋"/>
          <w:kern w:val="0"/>
          <w:sz w:val="36"/>
          <w:szCs w:val="36"/>
        </w:rPr>
        <w:t>按照省、衡阳市预案编制体系，结合我市实际情况，我市的应急预案编制体系为“1+4+N”，即1个突发事件总体预案、4个专项应急预案（生产安全事故应急预案、自然灾害应急预案、公共卫生应急预案、社会安全事件应急预案）、39个行业领域专项预案。我局负责编制的11个预案已完成征求意见、专家评审，正在挂网发布。同时推进全市相关部门负责的修订预案，建立完善应急预案体系。</w:t>
      </w:r>
    </w:p>
    <w:p w14:paraId="662AD24F">
      <w:pPr>
        <w:spacing w:line="580" w:lineRule="exact"/>
        <w:ind w:firstLine="723" w:firstLineChars="200"/>
        <w:rPr>
          <w:rFonts w:hint="eastAsia" w:ascii="仿宋" w:hAnsi="仿宋" w:eastAsia="仿宋" w:cs="仿宋"/>
          <w:b/>
          <w:kern w:val="0"/>
          <w:sz w:val="36"/>
          <w:szCs w:val="36"/>
        </w:rPr>
      </w:pPr>
      <w:r>
        <w:rPr>
          <w:rFonts w:hint="eastAsia" w:ascii="仿宋" w:hAnsi="仿宋" w:eastAsia="仿宋" w:cs="仿宋"/>
          <w:b/>
          <w:kern w:val="0"/>
          <w:sz w:val="36"/>
          <w:szCs w:val="36"/>
        </w:rPr>
        <w:t>（九）牵头开展“百日大会战”行动</w:t>
      </w:r>
    </w:p>
    <w:p w14:paraId="0BCD5AED">
      <w:pPr>
        <w:spacing w:line="580" w:lineRule="exact"/>
        <w:ind w:firstLine="720" w:firstLineChars="200"/>
        <w:rPr>
          <w:rFonts w:hint="eastAsia" w:ascii="仿宋" w:hAnsi="仿宋" w:eastAsia="仿宋" w:cs="仿宋"/>
          <w:kern w:val="0"/>
          <w:sz w:val="32"/>
          <w:szCs w:val="32"/>
        </w:rPr>
      </w:pPr>
      <w:r>
        <w:rPr>
          <w:rFonts w:hint="eastAsia" w:ascii="仿宋" w:hAnsi="仿宋" w:eastAsia="仿宋" w:cs="仿宋"/>
          <w:kern w:val="0"/>
          <w:sz w:val="36"/>
          <w:szCs w:val="36"/>
        </w:rPr>
        <w:t>按照省、市岁末年初安全生产工作要求，我局从11月份起牵头组织安委会成员单位、各乡镇开展“百日大会战”行动，实行一周一上报，一周一调度，全面落实双重预防机制。全市各级各部门重大风险辩识537处、重大风险管控503处、媒体曝光违法违规行为26起、举报查实处理安全生产违法行为17起、行刑衔接3起。通过对重大安全风险管控和严厉打击和曝光安全生产违法违规行为，防范生产安全事故，确保“特护期”及我市岁末年初安全稳定。</w:t>
      </w:r>
    </w:p>
    <w:p w14:paraId="741B6720">
      <w:pPr>
        <w:widowControl/>
        <w:topLinePunct/>
        <w:adjustRightInd w:val="0"/>
        <w:snapToGrid w:val="0"/>
        <w:spacing w:line="580" w:lineRule="exact"/>
        <w:ind w:firstLine="640" w:firstLineChars="200"/>
        <w:rPr>
          <w:rFonts w:ascii="Times New Roman" w:hAnsi="Times New Roman" w:eastAsia="黑体"/>
          <w:kern w:val="0"/>
          <w:sz w:val="32"/>
          <w:szCs w:val="32"/>
        </w:rPr>
      </w:pPr>
      <w:r>
        <w:rPr>
          <w:rFonts w:hint="eastAsia" w:ascii="Times New Roman" w:hAnsi="黑体" w:eastAsia="黑体"/>
          <w:kern w:val="0"/>
          <w:sz w:val="32"/>
          <w:szCs w:val="32"/>
        </w:rPr>
        <w:t>二、存在的问题</w:t>
      </w:r>
    </w:p>
    <w:p w14:paraId="61C39F1E">
      <w:pPr>
        <w:widowControl/>
        <w:adjustRightInd w:val="0"/>
        <w:snapToGrid w:val="0"/>
        <w:spacing w:line="580" w:lineRule="exact"/>
        <w:ind w:firstLine="720" w:firstLineChars="200"/>
        <w:rPr>
          <w:rFonts w:hint="eastAsia" w:ascii="仿宋" w:hAnsi="仿宋" w:eastAsia="仿宋" w:cs="仿宋"/>
          <w:kern w:val="0"/>
          <w:sz w:val="36"/>
          <w:szCs w:val="36"/>
        </w:rPr>
      </w:pPr>
      <w:r>
        <w:rPr>
          <w:rFonts w:hint="eastAsia" w:ascii="仿宋" w:hAnsi="仿宋" w:eastAsia="仿宋" w:cs="仿宋"/>
          <w:kern w:val="0"/>
          <w:sz w:val="36"/>
          <w:szCs w:val="36"/>
        </w:rPr>
        <w:t>今年我市安全生产和应急管理工作取得了一些成效，但仍面临着问题和挑战，主要表现为：</w:t>
      </w:r>
    </w:p>
    <w:p w14:paraId="2BD27FCB">
      <w:pPr>
        <w:widowControl/>
        <w:adjustRightInd w:val="0"/>
        <w:snapToGrid w:val="0"/>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（一）安全生产形势依然严峻。</w:t>
      </w:r>
      <w:r>
        <w:rPr>
          <w:rFonts w:hint="eastAsia" w:ascii="仿宋" w:hAnsi="仿宋" w:eastAsia="仿宋" w:cs="仿宋"/>
          <w:kern w:val="0"/>
          <w:sz w:val="36"/>
          <w:szCs w:val="36"/>
        </w:rPr>
        <w:t>建筑施工、道路交通、危化烟花、非煤矿山等一些重要行业领域的安全隐患仍然比较突出、非法违法行为也是屡禁不止，同时企业本质安全水平不高，安全责任不到位等问题依然存在。</w:t>
      </w:r>
    </w:p>
    <w:p w14:paraId="1974CB76">
      <w:pPr>
        <w:widowControl/>
        <w:adjustRightInd w:val="0"/>
        <w:snapToGrid w:val="0"/>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（三）应急能力仍存在短板。</w:t>
      </w:r>
      <w:r>
        <w:rPr>
          <w:rFonts w:hint="eastAsia" w:ascii="仿宋" w:hAnsi="仿宋" w:eastAsia="仿宋" w:cs="仿宋"/>
          <w:kern w:val="0"/>
          <w:sz w:val="36"/>
          <w:szCs w:val="36"/>
        </w:rPr>
        <w:t>虽然我市应急能力有所提升，但各级各部门、各行业对各类灾害事故的防范意识不足，救援能力建设还不平衡、不充分，亟待加强。面对应急管理工作高负荷、高压力、高风险的特点，乡镇应急管理力量相对薄弱，执法队伍能力不足，仍面临着“一人身兼多职”“小马拉大车”“业务不精通”等困惑，不能适应当前“大应急”的工作需求，制约着应急管理工作的发展。</w:t>
      </w:r>
    </w:p>
    <w:p w14:paraId="4FB21C61">
      <w:pPr>
        <w:widowControl/>
        <w:adjustRightInd w:val="0"/>
        <w:snapToGrid w:val="0"/>
        <w:spacing w:line="580" w:lineRule="exact"/>
        <w:ind w:firstLine="723" w:firstLineChars="200"/>
        <w:rPr>
          <w:rFonts w:hint="eastAsia" w:ascii="仿宋" w:hAnsi="仿宋" w:eastAsia="仿宋" w:cs="仿宋"/>
          <w:kern w:val="0"/>
          <w:sz w:val="36"/>
          <w:szCs w:val="36"/>
        </w:rPr>
      </w:pPr>
      <w:r>
        <w:rPr>
          <w:rFonts w:hint="eastAsia" w:ascii="仿宋" w:hAnsi="仿宋" w:eastAsia="仿宋" w:cs="仿宋"/>
          <w:b/>
          <w:kern w:val="0"/>
          <w:sz w:val="36"/>
          <w:szCs w:val="36"/>
        </w:rPr>
        <w:t>（三）应急管理信息化建设滞后。</w:t>
      </w:r>
      <w:r>
        <w:rPr>
          <w:rFonts w:hint="eastAsia" w:ascii="仿宋" w:hAnsi="仿宋" w:eastAsia="仿宋" w:cs="仿宋"/>
          <w:kern w:val="0"/>
          <w:sz w:val="36"/>
          <w:szCs w:val="36"/>
        </w:rPr>
        <w:t>虽我市应急管理信息化建设平台虽初步建立，但由于资金问题目前处于停滞状态。市应急指挥中心平台、应急通信系统、应急大数据中心等应急管理信息化系统对建设资金需求仍存在巨大缺口。</w:t>
      </w:r>
    </w:p>
    <w:p w14:paraId="3AC6FE86">
      <w:pPr>
        <w:pStyle w:val="4"/>
        <w:shd w:val="clear" w:color="auto" w:fill="FFFFFF"/>
        <w:spacing w:before="150" w:beforeAutospacing="0" w:after="0" w:afterAutospacing="0" w:line="360" w:lineRule="atLeast"/>
        <w:ind w:firstLine="723" w:firstLineChars="200"/>
        <w:rPr>
          <w:rFonts w:ascii="Helvetica" w:hAnsi="Helvetica" w:cs="Helvetica"/>
          <w:b/>
          <w:color w:val="333333"/>
        </w:rPr>
      </w:pPr>
      <w:r>
        <w:rPr>
          <w:rFonts w:hint="eastAsia" w:ascii="仿宋" w:hAnsi="仿宋" w:eastAsia="仿宋" w:cs="Helvetica"/>
          <w:b/>
          <w:color w:val="333333"/>
          <w:sz w:val="36"/>
          <w:szCs w:val="36"/>
        </w:rPr>
        <w:t>5、履职效益</w:t>
      </w:r>
    </w:p>
    <w:p w14:paraId="2BB57FF1">
      <w:pPr>
        <w:pStyle w:val="4"/>
        <w:shd w:val="clear" w:color="auto" w:fill="FFFFFF"/>
        <w:spacing w:before="150" w:beforeAutospacing="0" w:after="0" w:afterAutospacing="0" w:line="360" w:lineRule="atLeast"/>
        <w:ind w:firstLine="645"/>
        <w:rPr>
          <w:rFonts w:ascii="Helvetica" w:hAnsi="Helvetica" w:cs="Helvetica"/>
          <w:b/>
          <w:color w:val="333333"/>
        </w:rPr>
      </w:pPr>
      <w:r>
        <w:rPr>
          <w:rFonts w:hint="eastAsia" w:ascii="仿宋" w:hAnsi="仿宋" w:eastAsia="仿宋" w:cs="Helvetica"/>
          <w:b/>
          <w:color w:val="333333"/>
          <w:sz w:val="36"/>
          <w:szCs w:val="36"/>
        </w:rPr>
        <w:t>(1)经济效益。</w:t>
      </w:r>
    </w:p>
    <w:p w14:paraId="7C3368D3">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color w:val="333333"/>
          <w:sz w:val="36"/>
          <w:szCs w:val="36"/>
        </w:rPr>
        <w:t>围绕全市工作大局，忠实履行安全生产法监督职能，确保了人民群众生命财产安全,为我市经济社会发展营造了平安的环境.取得了较好的间接经济效益和社会效益。</w:t>
      </w:r>
    </w:p>
    <w:p w14:paraId="1934DA87">
      <w:pPr>
        <w:pStyle w:val="4"/>
        <w:shd w:val="clear" w:color="auto" w:fill="FFFFFF"/>
        <w:spacing w:before="150" w:beforeAutospacing="0" w:after="0" w:afterAutospacing="0" w:line="360" w:lineRule="atLeast"/>
        <w:ind w:firstLine="645"/>
        <w:rPr>
          <w:rFonts w:ascii="Helvetica" w:hAnsi="Helvetica" w:cs="Helvetica"/>
          <w:color w:val="333333"/>
        </w:rPr>
      </w:pPr>
      <w:r>
        <w:rPr>
          <w:rFonts w:hint="eastAsia" w:ascii="仿宋" w:hAnsi="仿宋" w:eastAsia="仿宋" w:cs="Helvetica"/>
          <w:b/>
          <w:color w:val="333333"/>
          <w:sz w:val="36"/>
          <w:szCs w:val="36"/>
        </w:rPr>
        <w:t>(2)社会效益</w:t>
      </w:r>
      <w:r>
        <w:rPr>
          <w:rFonts w:hint="eastAsia" w:ascii="仿宋" w:hAnsi="仿宋" w:eastAsia="仿宋" w:cs="Helvetica"/>
          <w:color w:val="333333"/>
          <w:sz w:val="36"/>
          <w:szCs w:val="36"/>
        </w:rPr>
        <w:t>。积极参与平安建设，依法打击各类违法生产经营建设行为，关闭不符合安全生产条件的中小企业，确保了人民群众生命财产安全，维护了社会和谐稳定。</w:t>
      </w:r>
    </w:p>
    <w:p w14:paraId="3AE8832E">
      <w:pPr>
        <w:pStyle w:val="4"/>
        <w:shd w:val="clear" w:color="auto" w:fill="FFFFFF"/>
        <w:spacing w:before="0" w:beforeAutospacing="0" w:after="0" w:afterAutospacing="0" w:line="360" w:lineRule="atLeast"/>
        <w:ind w:firstLine="723" w:firstLineChars="200"/>
        <w:rPr>
          <w:rFonts w:ascii="Helvetica" w:hAnsi="Helvetica" w:cs="Helvetica"/>
          <w:b/>
          <w:color w:val="333333"/>
        </w:rPr>
      </w:pPr>
      <w:r>
        <w:rPr>
          <w:rFonts w:hint="eastAsia" w:ascii="仿宋" w:hAnsi="仿宋" w:eastAsia="仿宋" w:cs="Helvetica"/>
          <w:b/>
          <w:color w:val="333333"/>
          <w:sz w:val="36"/>
          <w:szCs w:val="36"/>
        </w:rPr>
        <w:t>6、部门整体绩效得分</w:t>
      </w:r>
    </w:p>
    <w:p w14:paraId="159E3BBF">
      <w:pPr>
        <w:pStyle w:val="4"/>
        <w:shd w:val="clear" w:color="auto" w:fill="FFFFFF"/>
        <w:spacing w:before="0" w:beforeAutospacing="0" w:after="0" w:afterAutospacing="0" w:line="360" w:lineRule="atLeast"/>
        <w:ind w:firstLine="720" w:firstLineChars="200"/>
        <w:rPr>
          <w:rFonts w:ascii="Helvetica" w:hAnsi="Helvetica" w:cs="Helvetica"/>
          <w:b/>
          <w:color w:val="333333"/>
        </w:rPr>
      </w:pPr>
      <w:r>
        <w:rPr>
          <w:rFonts w:hint="eastAsia" w:ascii="仿宋" w:hAnsi="仿宋" w:eastAsia="仿宋" w:cs="Helvetica"/>
          <w:color w:val="333333"/>
          <w:sz w:val="36"/>
          <w:szCs w:val="36"/>
        </w:rPr>
        <w:t>对照绩效评价指标及评分标准,根据我局202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年上述各项指标完成情况,我局202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年部门整体绩效自评为9</w:t>
      </w:r>
      <w:r>
        <w:rPr>
          <w:rFonts w:hint="eastAsia" w:ascii="仿宋" w:hAnsi="仿宋" w:eastAsia="仿宋" w:cs="Helvetica"/>
          <w:color w:val="333333"/>
          <w:sz w:val="36"/>
          <w:szCs w:val="36"/>
          <w:lang w:val="en-US" w:eastAsia="zh-CN"/>
        </w:rPr>
        <w:t>5</w:t>
      </w:r>
      <w:r>
        <w:rPr>
          <w:rFonts w:hint="eastAsia" w:ascii="仿宋" w:hAnsi="仿宋" w:eastAsia="仿宋" w:cs="Helvetica"/>
          <w:color w:val="333333"/>
          <w:sz w:val="36"/>
          <w:szCs w:val="36"/>
        </w:rPr>
        <w:t>分。</w:t>
      </w:r>
    </w:p>
    <w:p w14:paraId="3346F231">
      <w:pPr>
        <w:pStyle w:val="4"/>
        <w:shd w:val="clear" w:color="auto" w:fill="FFFFFF"/>
        <w:spacing w:before="0" w:beforeAutospacing="0" w:after="0" w:afterAutospacing="0" w:line="360" w:lineRule="atLeast"/>
        <w:ind w:firstLine="645"/>
        <w:rPr>
          <w:rStyle w:val="7"/>
          <w:rFonts w:cs="Helvetica" w:asciiTheme="majorEastAsia" w:hAnsiTheme="majorEastAsia" w:eastAsiaTheme="majorEastAsia"/>
          <w:bCs w:val="0"/>
          <w:color w:val="333333"/>
          <w:sz w:val="36"/>
          <w:szCs w:val="36"/>
        </w:rPr>
      </w:pPr>
      <w:r>
        <w:rPr>
          <w:rStyle w:val="7"/>
          <w:rFonts w:hint="eastAsia" w:cs="Helvetica" w:asciiTheme="majorEastAsia" w:hAnsiTheme="majorEastAsia" w:eastAsiaTheme="majorEastAsia"/>
          <w:bCs w:val="0"/>
          <w:color w:val="333333"/>
          <w:sz w:val="36"/>
          <w:szCs w:val="36"/>
        </w:rPr>
        <w:t>五、绩效评价工作开展情况</w:t>
      </w:r>
    </w:p>
    <w:p w14:paraId="5BB956D2">
      <w:pPr>
        <w:pStyle w:val="4"/>
        <w:shd w:val="clear" w:color="auto" w:fill="FFFFFF"/>
        <w:spacing w:before="0" w:beforeAutospacing="0" w:after="0" w:afterAutospacing="0" w:line="360" w:lineRule="atLeast"/>
        <w:ind w:firstLine="723" w:firstLineChars="200"/>
        <w:rPr>
          <w:rFonts w:ascii="Helvetica" w:hAnsi="Helvetica" w:cs="Helvetica"/>
          <w:color w:val="333333"/>
        </w:rPr>
      </w:pPr>
      <w:r>
        <w:rPr>
          <w:rStyle w:val="7"/>
          <w:rFonts w:hint="eastAsia" w:ascii="仿宋" w:hAnsi="仿宋" w:eastAsia="仿宋" w:cs="Helvetica"/>
          <w:bCs w:val="0"/>
          <w:color w:val="333333"/>
          <w:sz w:val="36"/>
          <w:szCs w:val="36"/>
        </w:rPr>
        <w:t>（一）绩效评价目的。</w:t>
      </w:r>
      <w:r>
        <w:rPr>
          <w:rStyle w:val="7"/>
          <w:rFonts w:ascii="Helvetica" w:hAnsi="Helvetica" w:cs="Helvetica"/>
          <w:bCs w:val="0"/>
          <w:color w:val="333333"/>
          <w:sz w:val="36"/>
          <w:szCs w:val="36"/>
        </w:rPr>
        <w:t>　</w:t>
      </w:r>
    </w:p>
    <w:p w14:paraId="3603BA7E">
      <w:pPr>
        <w:widowControl/>
        <w:shd w:val="clear" w:color="auto" w:fill="FFFFFF"/>
        <w:spacing w:line="480" w:lineRule="auto"/>
        <w:ind w:firstLine="480"/>
        <w:jc w:val="left"/>
        <w:rPr>
          <w:rFonts w:ascii="仿宋" w:hAnsi="仿宋" w:eastAsia="仿宋" w:cs="宋体"/>
          <w:color w:val="666666"/>
          <w:kern w:val="0"/>
          <w:sz w:val="36"/>
          <w:szCs w:val="36"/>
        </w:rPr>
      </w:pPr>
      <w:r>
        <w:rPr>
          <w:rFonts w:ascii="Helvetica" w:hAnsi="Helvetica" w:cs="Helvetica"/>
          <w:color w:val="333333"/>
          <w:sz w:val="36"/>
          <w:szCs w:val="36"/>
        </w:rPr>
        <w:t>　</w:t>
      </w:r>
      <w:r>
        <w:rPr>
          <w:rFonts w:hint="eastAsia" w:ascii="仿宋" w:hAnsi="仿宋" w:eastAsia="仿宋" w:cs="宋体"/>
          <w:color w:val="666666"/>
          <w:kern w:val="0"/>
          <w:sz w:val="36"/>
          <w:szCs w:val="36"/>
        </w:rPr>
        <w:t>通过绩效评价，具体体现我局整体部门支出资金投入、分配和使用情况，资金管理制度、措施制定和实施情况，资金使用效果和资金项目目标实现情况。有利总结经验，发现问题，及时改进。进一步加强应急管理局整体部门支出资金管理，实现资金使用效益最大化，提高政府管理效能和财政资金使用效益，切实保证财政资金安全。</w:t>
      </w:r>
    </w:p>
    <w:p w14:paraId="5BBFC5B2">
      <w:pPr>
        <w:pStyle w:val="4"/>
        <w:shd w:val="clear" w:color="auto" w:fill="FFFFFF"/>
        <w:spacing w:before="150" w:beforeAutospacing="0" w:after="0" w:afterAutospacing="0" w:line="360" w:lineRule="atLeast"/>
        <w:ind w:firstLine="645"/>
        <w:rPr>
          <w:rFonts w:ascii="Helvetica" w:hAnsi="Helvetica" w:cs="Helvetica"/>
          <w:color w:val="333333"/>
        </w:rPr>
      </w:pPr>
      <w:r>
        <w:rPr>
          <w:rStyle w:val="7"/>
          <w:rFonts w:hint="eastAsia" w:ascii="仿宋" w:hAnsi="仿宋" w:eastAsia="仿宋" w:cs="Helvetica"/>
          <w:bCs w:val="0"/>
          <w:color w:val="333333"/>
          <w:sz w:val="36"/>
          <w:szCs w:val="36"/>
        </w:rPr>
        <w:t>（二）绩效评价工作过程</w:t>
      </w:r>
    </w:p>
    <w:p w14:paraId="245B1B0C">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根据市财政局有关文件确定的绩效评价方法,成立了绩效评价工作领导小组,负责绩效评价工作的组织领导和具体实施,召开了评价工作部署会,要求于202</w:t>
      </w:r>
      <w:r>
        <w:rPr>
          <w:rFonts w:hint="eastAsia" w:ascii="仿宋" w:hAnsi="仿宋" w:eastAsia="仿宋" w:cs="Helvetica"/>
          <w:color w:val="333333"/>
          <w:sz w:val="36"/>
          <w:szCs w:val="36"/>
          <w:lang w:val="en-US" w:eastAsia="zh-CN"/>
        </w:rPr>
        <w:t>2</w:t>
      </w:r>
      <w:r>
        <w:rPr>
          <w:rFonts w:hint="eastAsia" w:ascii="仿宋" w:hAnsi="仿宋" w:eastAsia="仿宋" w:cs="Helvetica"/>
          <w:color w:val="333333"/>
          <w:sz w:val="36"/>
          <w:szCs w:val="36"/>
        </w:rPr>
        <w:t>年7月1日前完成评价工作。</w:t>
      </w:r>
    </w:p>
    <w:p w14:paraId="36CA73F8">
      <w:pPr>
        <w:pStyle w:val="4"/>
        <w:shd w:val="clear" w:color="auto" w:fill="FFFFFF"/>
        <w:spacing w:before="150" w:beforeAutospacing="0" w:after="0" w:afterAutospacing="0" w:line="360" w:lineRule="atLeast"/>
        <w:ind w:firstLine="720" w:firstLineChars="200"/>
        <w:rPr>
          <w:rFonts w:ascii="Helvetica" w:hAnsi="Helvetica" w:cs="Helvetica"/>
          <w:color w:val="333333"/>
        </w:rPr>
      </w:pPr>
      <w:r>
        <w:rPr>
          <w:rFonts w:hint="eastAsia" w:ascii="仿宋" w:hAnsi="仿宋" w:eastAsia="仿宋" w:cs="Helvetica"/>
          <w:color w:val="333333"/>
          <w:sz w:val="36"/>
          <w:szCs w:val="36"/>
        </w:rPr>
        <w:t>绩效评价工作领导小组拟定了部门整体支出绩效评价工作方案,评价人员在查阅、检查预决算报告,核实基本支出、项目支出有关账目,收集整理202</w:t>
      </w:r>
      <w:r>
        <w:rPr>
          <w:rFonts w:hint="eastAsia" w:ascii="仿宋" w:hAnsi="仿宋" w:eastAsia="仿宋" w:cs="Helvetica"/>
          <w:color w:val="333333"/>
          <w:sz w:val="36"/>
          <w:szCs w:val="36"/>
          <w:lang w:val="en-US" w:eastAsia="zh-CN"/>
        </w:rPr>
        <w:t>1</w:t>
      </w:r>
      <w:r>
        <w:rPr>
          <w:rFonts w:hint="eastAsia" w:ascii="仿宋" w:hAnsi="仿宋" w:eastAsia="仿宋" w:cs="Helvetica"/>
          <w:color w:val="333333"/>
          <w:sz w:val="36"/>
          <w:szCs w:val="36"/>
        </w:rPr>
        <w:t>年部门预算与支出的相关数据及资料进行分析,形成评价结论。</w:t>
      </w:r>
    </w:p>
    <w:p w14:paraId="2B1AC8FF">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四、项目绩效情况分析</w:t>
      </w:r>
    </w:p>
    <w:p w14:paraId="27CB8476">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（一）经济性分析。202</w:t>
      </w:r>
      <w:r>
        <w:rPr>
          <w:rFonts w:hint="eastAsia" w:ascii="仿宋" w:hAnsi="仿宋" w:eastAsia="仿宋" w:cs="宋体"/>
          <w:color w:val="666666"/>
          <w:kern w:val="0"/>
          <w:sz w:val="36"/>
          <w:szCs w:val="36"/>
          <w:lang w:val="en-US" w:eastAsia="zh-CN"/>
        </w:rPr>
        <w:t>1</w:t>
      </w:r>
      <w:r>
        <w:rPr>
          <w:rFonts w:hint="eastAsia" w:ascii="仿宋" w:hAnsi="仿宋" w:eastAsia="仿宋" w:cs="宋体"/>
          <w:color w:val="666666"/>
          <w:kern w:val="0"/>
          <w:sz w:val="36"/>
          <w:szCs w:val="36"/>
        </w:rPr>
        <w:t>年常宁市应急管理局整体部门支出资金</w:t>
      </w:r>
      <w:r>
        <w:rPr>
          <w:rFonts w:hint="eastAsia" w:ascii="仿宋" w:hAnsi="仿宋" w:eastAsia="仿宋" w:cs="宋体"/>
          <w:color w:val="666666"/>
          <w:kern w:val="0"/>
          <w:sz w:val="36"/>
          <w:szCs w:val="36"/>
          <w:lang w:val="en-US" w:eastAsia="zh-CN"/>
        </w:rPr>
        <w:t>2944.06</w:t>
      </w:r>
      <w:r>
        <w:rPr>
          <w:rFonts w:hint="eastAsia" w:ascii="仿宋" w:hAnsi="仿宋" w:eastAsia="仿宋" w:cs="宋体"/>
          <w:color w:val="666666"/>
          <w:kern w:val="0"/>
          <w:sz w:val="36"/>
          <w:szCs w:val="36"/>
        </w:rPr>
        <w:t>万元，本着“少花钱、多办事、办好事”原则，严格控制“三公”经费支出，“三公”经费预算</w:t>
      </w:r>
      <w:r>
        <w:rPr>
          <w:rFonts w:hint="eastAsia" w:ascii="仿宋" w:hAnsi="仿宋" w:eastAsia="仿宋" w:cs="宋体"/>
          <w:color w:val="666666"/>
          <w:kern w:val="0"/>
          <w:sz w:val="36"/>
          <w:szCs w:val="36"/>
          <w:lang w:val="en-US" w:eastAsia="zh-CN"/>
        </w:rPr>
        <w:t>16.80</w:t>
      </w:r>
      <w:r>
        <w:rPr>
          <w:rFonts w:hint="eastAsia" w:ascii="仿宋" w:hAnsi="仿宋" w:eastAsia="仿宋" w:cs="宋体"/>
          <w:color w:val="666666"/>
          <w:kern w:val="0"/>
          <w:sz w:val="36"/>
          <w:szCs w:val="36"/>
        </w:rPr>
        <w:t>万元。其中：因公出国（境）支出预算0万元；公务用车运行维护费支出预算0万元；公务接待费支出预算</w:t>
      </w:r>
      <w:r>
        <w:rPr>
          <w:rFonts w:hint="eastAsia" w:ascii="仿宋" w:hAnsi="仿宋" w:eastAsia="仿宋" w:cs="宋体"/>
          <w:color w:val="666666"/>
          <w:kern w:val="0"/>
          <w:sz w:val="36"/>
          <w:szCs w:val="36"/>
          <w:lang w:val="en-US" w:eastAsia="zh-CN"/>
        </w:rPr>
        <w:t>16.08</w:t>
      </w:r>
      <w:r>
        <w:rPr>
          <w:rFonts w:hint="eastAsia" w:ascii="仿宋" w:hAnsi="仿宋" w:eastAsia="仿宋" w:cs="宋体"/>
          <w:color w:val="666666"/>
          <w:kern w:val="0"/>
          <w:sz w:val="36"/>
          <w:szCs w:val="36"/>
        </w:rPr>
        <w:t>万元。</w:t>
      </w:r>
    </w:p>
    <w:p w14:paraId="13FCF896">
      <w:pPr>
        <w:widowControl/>
        <w:shd w:val="clear" w:color="auto" w:fill="FFFFFF"/>
        <w:spacing w:line="480" w:lineRule="auto"/>
        <w:ind w:firstLine="720" w:firstLineChars="20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政府采购货物</w:t>
      </w:r>
      <w:r>
        <w:rPr>
          <w:rFonts w:hint="eastAsia" w:ascii="仿宋" w:hAnsi="仿宋" w:eastAsia="仿宋" w:cs="宋体"/>
          <w:color w:val="666666"/>
          <w:kern w:val="0"/>
          <w:sz w:val="36"/>
          <w:szCs w:val="36"/>
          <w:lang w:val="en-US" w:eastAsia="zh-CN"/>
        </w:rPr>
        <w:t>105.40</w:t>
      </w:r>
      <w:r>
        <w:rPr>
          <w:rFonts w:hint="eastAsia" w:ascii="仿宋" w:hAnsi="仿宋" w:eastAsia="仿宋" w:cs="宋体"/>
          <w:color w:val="666666"/>
          <w:kern w:val="0"/>
          <w:sz w:val="36"/>
          <w:szCs w:val="36"/>
        </w:rPr>
        <w:t>万元、采购服务</w:t>
      </w:r>
      <w:r>
        <w:rPr>
          <w:rFonts w:hint="eastAsia" w:ascii="仿宋" w:hAnsi="仿宋" w:eastAsia="仿宋" w:cs="宋体"/>
          <w:color w:val="666666"/>
          <w:kern w:val="0"/>
          <w:sz w:val="36"/>
          <w:szCs w:val="36"/>
          <w:lang w:val="en-US" w:eastAsia="zh-CN"/>
        </w:rPr>
        <w:t>111.25</w:t>
      </w:r>
      <w:r>
        <w:rPr>
          <w:rFonts w:hint="eastAsia" w:ascii="仿宋" w:hAnsi="仿宋" w:eastAsia="仿宋" w:cs="宋体"/>
          <w:color w:val="666666"/>
          <w:kern w:val="0"/>
          <w:sz w:val="36"/>
          <w:szCs w:val="36"/>
        </w:rPr>
        <w:t xml:space="preserve">万元，做到应采尽采，政府采购执行率100%。 </w:t>
      </w:r>
      <w:r>
        <w:rPr>
          <w:rFonts w:ascii="仿宋" w:hAnsi="仿宋" w:eastAsia="仿宋" w:cs="宋体"/>
          <w:color w:val="666666"/>
          <w:kern w:val="0"/>
          <w:sz w:val="36"/>
          <w:szCs w:val="36"/>
        </w:rPr>
        <w:t xml:space="preserve">          </w:t>
      </w:r>
    </w:p>
    <w:p w14:paraId="11E5CC2A">
      <w:pPr>
        <w:widowControl/>
        <w:shd w:val="clear" w:color="auto" w:fill="FFFFFF"/>
        <w:spacing w:line="480" w:lineRule="auto"/>
        <w:ind w:firstLine="720" w:firstLineChars="20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按照</w:t>
      </w:r>
      <w:r>
        <w:rPr>
          <w:rFonts w:hint="eastAsia" w:ascii="仿宋" w:hAnsi="仿宋" w:eastAsia="仿宋" w:cs="仿宋_GB2312"/>
          <w:sz w:val="36"/>
          <w:szCs w:val="36"/>
        </w:rPr>
        <w:t>《预算绩效管理工作考核办法》（湘财绩〔2015〕15号）文件规定</w:t>
      </w:r>
      <w:r>
        <w:rPr>
          <w:rFonts w:hint="eastAsia" w:ascii="仿宋" w:hAnsi="仿宋" w:eastAsia="仿宋"/>
          <w:color w:val="333333"/>
          <w:sz w:val="36"/>
          <w:szCs w:val="36"/>
          <w:shd w:val="clear" w:color="auto" w:fill="FFFFFF"/>
        </w:rPr>
        <w:t>我局从预算编制、预算配置、预算执行和管理等方面对202</w:t>
      </w:r>
      <w:r>
        <w:rPr>
          <w:rFonts w:hint="eastAsia" w:ascii="仿宋" w:hAnsi="仿宋" w:eastAsia="仿宋"/>
          <w:color w:val="333333"/>
          <w:sz w:val="36"/>
          <w:szCs w:val="36"/>
          <w:shd w:val="clear" w:color="auto" w:fill="FFFFFF"/>
          <w:lang w:val="en-US" w:eastAsia="zh-CN"/>
        </w:rPr>
        <w:t>1</w:t>
      </w:r>
      <w:r>
        <w:rPr>
          <w:rFonts w:hint="eastAsia" w:ascii="仿宋" w:hAnsi="仿宋" w:eastAsia="仿宋"/>
          <w:color w:val="333333"/>
          <w:sz w:val="36"/>
          <w:szCs w:val="36"/>
          <w:shd w:val="clear" w:color="auto" w:fill="FFFFFF"/>
        </w:rPr>
        <w:t>年部门整体支出绩效开展了评价,具体情况如下:</w:t>
      </w:r>
    </w:p>
    <w:p w14:paraId="2FBCE6CD">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（二）效率性分析。根据部门整体支出目标，及时进行任务分工，进一步完善了财务制度，使财政收支预算执行得到了良好的制度保障和实施效果，确保工作任务完成率100%。</w:t>
      </w:r>
    </w:p>
    <w:p w14:paraId="1C7587FA">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（三）效益性分析。围绕安全生产“打非治违”和隐患排查治理工作，加强安全生产宣传教育，使安全生产知识家喻户晓，做到人人讲安全，个个晓安全的浓厚氛围，确保我市安全生产形势稳步向好。</w:t>
      </w:r>
    </w:p>
    <w:p w14:paraId="028D44A3">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五、自评情况</w:t>
      </w:r>
    </w:p>
    <w:p w14:paraId="2BC0305D">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对照整体支出绩效评价指标自我评分，我们认为自评分9</w:t>
      </w:r>
      <w:r>
        <w:rPr>
          <w:rFonts w:hint="eastAsia" w:ascii="仿宋" w:hAnsi="仿宋" w:eastAsia="仿宋" w:cs="宋体"/>
          <w:color w:val="666666"/>
          <w:kern w:val="0"/>
          <w:sz w:val="36"/>
          <w:szCs w:val="36"/>
          <w:lang w:val="en-US" w:eastAsia="zh-CN"/>
        </w:rPr>
        <w:t>5</w:t>
      </w:r>
      <w:r>
        <w:rPr>
          <w:rFonts w:hint="eastAsia" w:ascii="仿宋" w:hAnsi="仿宋" w:eastAsia="仿宋" w:cs="宋体"/>
          <w:color w:val="666666"/>
          <w:kern w:val="0"/>
          <w:sz w:val="36"/>
          <w:szCs w:val="36"/>
        </w:rPr>
        <w:t>分，整体来说做到较好，但由于客观原因影响，财务管理有待于进一步规范。在今后，我们将吸收先进管理经验，严格财务管理，节约开支，提高资金使用效率，为人民群众的生产生活提供良好的安全发展环境。</w:t>
      </w:r>
    </w:p>
    <w:p w14:paraId="0B84FB00">
      <w:pPr>
        <w:widowControl/>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根据常财绩〔2020〕57号文件确定的绩效评价方法,成立了绩效评价工作领导小组,负责绩效评价工作的组织领导和具体实施,召开了评价工作部署会,要求于202</w:t>
      </w:r>
      <w:r>
        <w:rPr>
          <w:rFonts w:hint="eastAsia" w:ascii="仿宋" w:hAnsi="仿宋" w:eastAsia="仿宋" w:cs="Helvetica"/>
          <w:color w:val="333333"/>
          <w:kern w:val="0"/>
          <w:sz w:val="36"/>
          <w:szCs w:val="36"/>
          <w:lang w:val="en-US" w:eastAsia="zh-CN"/>
        </w:rPr>
        <w:t>2</w:t>
      </w:r>
      <w:r>
        <w:rPr>
          <w:rFonts w:hint="eastAsia" w:ascii="仿宋" w:hAnsi="仿宋" w:eastAsia="仿宋" w:cs="Helvetica"/>
          <w:color w:val="333333"/>
          <w:kern w:val="0"/>
          <w:sz w:val="36"/>
          <w:szCs w:val="36"/>
        </w:rPr>
        <w:t>年7月1日前完成评价工作。</w:t>
      </w:r>
    </w:p>
    <w:p w14:paraId="594BB50C">
      <w:pPr>
        <w:widowControl/>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绩效评价工作领导小组拟定了部门整体支出绩效评价工作方案,评价人员在查阅、检查预决算报告,核实基本支出、项目支出有关账目,收集整理202</w:t>
      </w:r>
      <w:r>
        <w:rPr>
          <w:rFonts w:hint="eastAsia" w:ascii="仿宋" w:hAnsi="仿宋" w:eastAsia="仿宋" w:cs="Helvetica"/>
          <w:color w:val="333333"/>
          <w:kern w:val="0"/>
          <w:sz w:val="36"/>
          <w:szCs w:val="36"/>
          <w:lang w:val="en-US" w:eastAsia="zh-CN"/>
        </w:rPr>
        <w:t>1</w:t>
      </w:r>
      <w:r>
        <w:rPr>
          <w:rFonts w:hint="eastAsia" w:ascii="仿宋" w:hAnsi="仿宋" w:eastAsia="仿宋" w:cs="Helvetica"/>
          <w:color w:val="333333"/>
          <w:kern w:val="0"/>
          <w:sz w:val="36"/>
          <w:szCs w:val="36"/>
        </w:rPr>
        <w:t>年部门预算与支出的相关数据及资料进行分析,形成评价结论。</w:t>
      </w:r>
    </w:p>
    <w:p w14:paraId="349A3F3D">
      <w:pPr>
        <w:widowControl/>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六、存在的主要问题</w:t>
      </w:r>
    </w:p>
    <w:p w14:paraId="0A0E6283">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202</w:t>
      </w:r>
      <w:r>
        <w:rPr>
          <w:rFonts w:hint="eastAsia" w:ascii="仿宋" w:hAnsi="仿宋" w:eastAsia="仿宋" w:cs="Helvetica"/>
          <w:color w:val="333333"/>
          <w:kern w:val="0"/>
          <w:sz w:val="36"/>
          <w:szCs w:val="36"/>
          <w:lang w:val="en-US" w:eastAsia="zh-CN"/>
        </w:rPr>
        <w:t>1</w:t>
      </w:r>
      <w:r>
        <w:rPr>
          <w:rFonts w:hint="eastAsia" w:ascii="仿宋" w:hAnsi="仿宋" w:eastAsia="仿宋" w:cs="Helvetica"/>
          <w:color w:val="333333"/>
          <w:kern w:val="0"/>
          <w:sz w:val="36"/>
          <w:szCs w:val="36"/>
        </w:rPr>
        <w:t>年，我市安全生产工作虽然重点工作取得有效进展，安全生产形势整体比较稳定，但客观分析还存在一些问题和纰漏，形势不容乐观。一是工作执行力不高，重点工作在乡镇和企业没有得到有效落实。二是安全隐患整治不力，隐患治理资金缺少，安全隐患得不到及时整改。三是非法违法行为频发，加大执行力度任重而道远。四是基层基础薄弱，安全监管人员监管能力不强，设备老化，跟不上信息化步伐。</w:t>
      </w:r>
    </w:p>
    <w:p w14:paraId="00E48949">
      <w:pPr>
        <w:widowControl/>
        <w:shd w:val="clear" w:color="auto" w:fill="FFFFFF"/>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七、改进措施和有关建议</w:t>
      </w:r>
    </w:p>
    <w:p w14:paraId="5769E73E">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针对上述存在的问题及我局整体支出管理工作的需要,拟实施的改进措施如下:</w:t>
      </w:r>
    </w:p>
    <w:p w14:paraId="017356E9">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　（一）细化预算编制工作。进一步加强局内机构各股室的预算管理意识,严格预算编制的相关制度和要求,规范预算编制程序。根据单位的年度工作重点和项目专项工作规划预算,本着“勤俭节约、保障运转”的原则进行预算的编制。</w:t>
      </w:r>
    </w:p>
    <w:p w14:paraId="2C40458C">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　（二）加强预算执行管理。严格执行专款专用，按专项资金管理办法使用和管理资金，发挥最大的资金效率。</w:t>
      </w:r>
    </w:p>
    <w:p w14:paraId="05F42CF1">
      <w:pPr>
        <w:widowControl/>
        <w:shd w:val="clear" w:color="auto" w:fill="FFFFFF"/>
        <w:spacing w:before="150" w:line="360" w:lineRule="atLeast"/>
        <w:ind w:firstLine="960"/>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（三）加大设备资金投入，尽快建立应急救援平台和组织培训队伍，以适应新的应急管理局的职责职能。</w:t>
      </w:r>
    </w:p>
    <w:p w14:paraId="13443C20"/>
    <w:p w14:paraId="25478368">
      <w:pPr>
        <w:pStyle w:val="4"/>
        <w:tabs>
          <w:tab w:val="left" w:pos="420"/>
        </w:tabs>
        <w:spacing w:beforeAutospacing="0" w:afterAutospacing="0" w:line="360" w:lineRule="auto"/>
        <w:ind w:firstLine="720"/>
        <w:rPr>
          <w:rFonts w:ascii="仿宋" w:hAnsi="仿宋" w:eastAsia="仿宋"/>
          <w:sz w:val="36"/>
          <w:szCs w:val="36"/>
        </w:rPr>
      </w:pPr>
    </w:p>
    <w:p w14:paraId="3A257BDE">
      <w:pPr>
        <w:pStyle w:val="4"/>
        <w:tabs>
          <w:tab w:val="left" w:pos="420"/>
        </w:tabs>
        <w:spacing w:beforeAutospacing="0" w:afterAutospacing="0" w:line="360" w:lineRule="auto"/>
        <w:ind w:firstLine="720"/>
        <w:rPr>
          <w:rFonts w:ascii="仿宋" w:hAnsi="仿宋" w:eastAsia="仿宋"/>
          <w:sz w:val="36"/>
          <w:szCs w:val="36"/>
        </w:rPr>
      </w:pPr>
    </w:p>
    <w:p w14:paraId="3967EA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D5"/>
    <w:rsid w:val="0002479E"/>
    <w:rsid w:val="00070DD1"/>
    <w:rsid w:val="00084620"/>
    <w:rsid w:val="000D00FD"/>
    <w:rsid w:val="000D3A72"/>
    <w:rsid w:val="001758EB"/>
    <w:rsid w:val="00184B13"/>
    <w:rsid w:val="001917B9"/>
    <w:rsid w:val="001E2EEF"/>
    <w:rsid w:val="00225E5A"/>
    <w:rsid w:val="002824A9"/>
    <w:rsid w:val="003322D0"/>
    <w:rsid w:val="0038480C"/>
    <w:rsid w:val="00385CF1"/>
    <w:rsid w:val="003A069E"/>
    <w:rsid w:val="003A721E"/>
    <w:rsid w:val="005745CE"/>
    <w:rsid w:val="00580BC8"/>
    <w:rsid w:val="00585FC3"/>
    <w:rsid w:val="005A1003"/>
    <w:rsid w:val="006778CA"/>
    <w:rsid w:val="006F55CB"/>
    <w:rsid w:val="0072217E"/>
    <w:rsid w:val="007360F0"/>
    <w:rsid w:val="007369D2"/>
    <w:rsid w:val="0075583B"/>
    <w:rsid w:val="007560C2"/>
    <w:rsid w:val="00857EB4"/>
    <w:rsid w:val="00892DE9"/>
    <w:rsid w:val="008B0B36"/>
    <w:rsid w:val="008C75A1"/>
    <w:rsid w:val="00966370"/>
    <w:rsid w:val="00A15DB8"/>
    <w:rsid w:val="00A41C47"/>
    <w:rsid w:val="00A53600"/>
    <w:rsid w:val="00A768F2"/>
    <w:rsid w:val="00A83EFC"/>
    <w:rsid w:val="00A877DE"/>
    <w:rsid w:val="00B67734"/>
    <w:rsid w:val="00C9344C"/>
    <w:rsid w:val="00D058FD"/>
    <w:rsid w:val="00D433DF"/>
    <w:rsid w:val="00D67340"/>
    <w:rsid w:val="00DE5B56"/>
    <w:rsid w:val="00EB19F3"/>
    <w:rsid w:val="00F51EDE"/>
    <w:rsid w:val="00F525D5"/>
    <w:rsid w:val="00F60B87"/>
    <w:rsid w:val="00F8399B"/>
    <w:rsid w:val="00F94D28"/>
    <w:rsid w:val="00FD6172"/>
    <w:rsid w:val="00FD6F50"/>
    <w:rsid w:val="06797E17"/>
    <w:rsid w:val="5D6E690E"/>
    <w:rsid w:val="6204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539B0B-8946-4C12-ACF7-24E0A1FCCE39}">
  <ds:schemaRefs/>
</ds:datastoreItem>
</file>

<file path=docProps/app.xml><?xml version="1.0" encoding="utf-8"?>
<Properties xmlns="http://schemas.openxmlformats.org/officeDocument/2006/extended-properties" xmlns:vt="http://schemas.openxmlformats.org/officeDocument/2006/docPropsVTypes">
  <Template>Normal</Template>
  <Pages>20</Pages>
  <Words>8652</Words>
  <Characters>9041</Characters>
  <Lines>60</Lines>
  <Paragraphs>17</Paragraphs>
  <TotalTime>13</TotalTime>
  <ScaleCrop>false</ScaleCrop>
  <LinksUpToDate>false</LinksUpToDate>
  <CharactersWithSpaces>9064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2021-06-23T16:41:00Z</dcterms:created>
  <dc:creator>Administrator</dc:creator>
  <cp:lastModifiedBy>邓婷</cp:lastModifiedBy>
  <dcterms:modified xsi:type="dcterms:W3CDTF">2025-02-21T02:16:57Z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eyJoZGlkIjoiMDZlNGIwZmI4ZTFmN2U2MzBlYTUxMzQyY2VkMWEwOWQiLCJ1c2VySWQiOiIxMDY5MjgzMDcxIn0=</vt:lpwstr>
  </property>
  <property fmtid="{D5CDD505-2E9C-101B-9397-08002B2CF9AE}" pid="4" name="ICV">
    <vt:lpwstr>DE1D3601A74742988E2CD7A2CDDE390E_12</vt:lpwstr>
  </property>
</Properties>
</file>