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80" w:lineRule="auto"/>
        <w:ind w:left="-141" w:leftChars="-67" w:right="-99" w:rightChars="-47" w:firstLine="141" w:firstLineChars="39"/>
        <w:jc w:val="both"/>
        <w:rPr>
          <w:b/>
          <w:sz w:val="30"/>
          <w:szCs w:val="30"/>
        </w:rPr>
      </w:pPr>
      <w:r>
        <w:rPr>
          <w:rFonts w:hint="eastAsia"/>
          <w:b/>
          <w:sz w:val="36"/>
          <w:szCs w:val="36"/>
        </w:rPr>
        <w:t xml:space="preserve">   </w:t>
      </w:r>
      <w:r>
        <w:rPr>
          <w:rFonts w:hint="eastAsia"/>
          <w:b/>
          <w:sz w:val="30"/>
          <w:szCs w:val="30"/>
        </w:rPr>
        <w:t xml:space="preserve"> 常宁市退役军人事务局202</w:t>
      </w:r>
      <w:r>
        <w:rPr>
          <w:rFonts w:hint="eastAsia"/>
          <w:b/>
          <w:sz w:val="30"/>
          <w:szCs w:val="30"/>
          <w:lang w:val="en-US" w:eastAsia="zh-CN"/>
        </w:rPr>
        <w:t>1</w:t>
      </w:r>
      <w:r>
        <w:rPr>
          <w:rFonts w:hint="eastAsia"/>
          <w:b/>
          <w:sz w:val="30"/>
          <w:szCs w:val="30"/>
        </w:rPr>
        <w:t>年度预算支出绩效目标评价报告</w:t>
      </w:r>
    </w:p>
    <w:p>
      <w:pPr>
        <w:spacing w:line="600" w:lineRule="exact"/>
        <w:ind w:firstLine="560" w:firstLineChars="200"/>
        <w:jc w:val="left"/>
        <w:rPr>
          <w:rFonts w:ascii="宋体" w:hAnsi="宋体"/>
          <w:sz w:val="28"/>
          <w:szCs w:val="28"/>
        </w:rPr>
      </w:pPr>
      <w:r>
        <w:rPr>
          <w:rFonts w:hint="eastAsia" w:ascii="宋体" w:hAnsi="宋体"/>
          <w:sz w:val="28"/>
          <w:szCs w:val="28"/>
        </w:rPr>
        <w:t>为了进一步规范财政资金管理，牢固树立预算绩效理念，强化支出责任，提高财政资金的使用效益，我们根据财政局关于转发《湖南省预算绩效目标管理办法》的通知，结合我局具体情况认真组织开展了</w:t>
      </w:r>
      <w:r>
        <w:rPr>
          <w:rFonts w:ascii="宋体" w:hAnsi="宋体"/>
          <w:sz w:val="28"/>
          <w:szCs w:val="28"/>
        </w:rPr>
        <w:t>2</w:t>
      </w:r>
      <w:r>
        <w:rPr>
          <w:rFonts w:hint="eastAsia" w:ascii="宋体" w:hAnsi="宋体"/>
          <w:sz w:val="28"/>
          <w:szCs w:val="28"/>
        </w:rPr>
        <w:t>02</w:t>
      </w:r>
      <w:r>
        <w:rPr>
          <w:rFonts w:hint="eastAsia" w:ascii="宋体" w:hAnsi="宋体"/>
          <w:sz w:val="28"/>
          <w:szCs w:val="28"/>
          <w:lang w:val="en-US" w:eastAsia="zh-CN"/>
        </w:rPr>
        <w:t>1</w:t>
      </w:r>
      <w:r>
        <w:rPr>
          <w:rFonts w:hint="eastAsia" w:ascii="宋体" w:hAnsi="宋体"/>
          <w:sz w:val="28"/>
          <w:szCs w:val="28"/>
        </w:rPr>
        <w:t>年</w:t>
      </w:r>
      <w:r>
        <w:rPr>
          <w:rFonts w:ascii="宋体" w:hAnsi="宋体"/>
          <w:sz w:val="28"/>
          <w:szCs w:val="28"/>
        </w:rPr>
        <w:t>预算</w:t>
      </w:r>
      <w:r>
        <w:rPr>
          <w:rFonts w:hint="eastAsia" w:ascii="宋体" w:hAnsi="宋体"/>
          <w:sz w:val="28"/>
          <w:szCs w:val="28"/>
        </w:rPr>
        <w:t>绩效目标申报工作，现将我局</w:t>
      </w:r>
      <w:r>
        <w:rPr>
          <w:rFonts w:ascii="宋体" w:hAnsi="宋体"/>
          <w:sz w:val="28"/>
          <w:szCs w:val="28"/>
        </w:rPr>
        <w:t>20</w:t>
      </w:r>
      <w:r>
        <w:rPr>
          <w:rFonts w:hint="eastAsia" w:ascii="宋体" w:hAnsi="宋体"/>
          <w:sz w:val="28"/>
          <w:szCs w:val="28"/>
        </w:rPr>
        <w:t>2</w:t>
      </w:r>
      <w:r>
        <w:rPr>
          <w:rFonts w:hint="eastAsia" w:ascii="宋体" w:hAnsi="宋体"/>
          <w:sz w:val="28"/>
          <w:szCs w:val="28"/>
          <w:lang w:val="en-US" w:eastAsia="zh-CN"/>
        </w:rPr>
        <w:t>1</w:t>
      </w:r>
      <w:r>
        <w:rPr>
          <w:rFonts w:hint="eastAsia" w:ascii="宋体" w:hAnsi="宋体"/>
          <w:sz w:val="28"/>
          <w:szCs w:val="28"/>
        </w:rPr>
        <w:t>年预算整体支出绩效评价情况报告如下：</w:t>
      </w:r>
    </w:p>
    <w:p>
      <w:pPr>
        <w:spacing w:line="600" w:lineRule="exact"/>
        <w:ind w:firstLine="560" w:firstLineChars="200"/>
        <w:jc w:val="left"/>
        <w:rPr>
          <w:rFonts w:ascii="宋体"/>
          <w:sz w:val="28"/>
          <w:szCs w:val="28"/>
        </w:rPr>
      </w:pPr>
      <w:r>
        <w:rPr>
          <w:rFonts w:hint="eastAsia" w:ascii="宋体" w:hAnsi="宋体"/>
          <w:sz w:val="28"/>
          <w:szCs w:val="28"/>
        </w:rPr>
        <w:t>一、</w:t>
      </w:r>
      <w:r>
        <w:rPr>
          <w:rFonts w:ascii="宋体"/>
          <w:sz w:val="28"/>
          <w:szCs w:val="28"/>
        </w:rPr>
        <w:t> </w:t>
      </w:r>
      <w:r>
        <w:rPr>
          <w:rFonts w:hint="eastAsia" w:ascii="宋体" w:hAnsi="宋体"/>
          <w:sz w:val="28"/>
          <w:szCs w:val="28"/>
        </w:rPr>
        <w:t>基本情况</w:t>
      </w:r>
    </w:p>
    <w:p>
      <w:pPr>
        <w:spacing w:line="600" w:lineRule="exact"/>
        <w:ind w:firstLine="560" w:firstLineChars="200"/>
        <w:jc w:val="left"/>
        <w:rPr>
          <w:rFonts w:ascii="宋体"/>
          <w:sz w:val="28"/>
          <w:szCs w:val="28"/>
        </w:rPr>
      </w:pPr>
      <w:r>
        <w:rPr>
          <w:rFonts w:hint="eastAsia" w:ascii="宋体" w:hAnsi="宋体"/>
          <w:sz w:val="28"/>
          <w:szCs w:val="28"/>
        </w:rPr>
        <w:t>我局是独立核算的行政机关单位。人员编制42人、在职人数3</w:t>
      </w:r>
      <w:r>
        <w:rPr>
          <w:rFonts w:hint="eastAsia" w:ascii="宋体" w:hAnsi="宋体"/>
          <w:sz w:val="28"/>
          <w:szCs w:val="28"/>
          <w:lang w:val="en-US" w:eastAsia="zh-CN"/>
        </w:rPr>
        <w:t>3</w:t>
      </w:r>
      <w:r>
        <w:rPr>
          <w:rFonts w:hint="eastAsia" w:ascii="宋体" w:hAnsi="宋体"/>
          <w:sz w:val="28"/>
          <w:szCs w:val="28"/>
        </w:rPr>
        <w:t>人、其中：财政拨款补助3</w:t>
      </w:r>
      <w:r>
        <w:rPr>
          <w:rFonts w:hint="eastAsia" w:ascii="宋体" w:hAnsi="宋体"/>
          <w:sz w:val="28"/>
          <w:szCs w:val="28"/>
          <w:lang w:val="en-US" w:eastAsia="zh-CN"/>
        </w:rPr>
        <w:t>3</w:t>
      </w:r>
      <w:r>
        <w:rPr>
          <w:rFonts w:hint="eastAsia" w:ascii="宋体" w:hAnsi="宋体"/>
          <w:sz w:val="28"/>
          <w:szCs w:val="28"/>
        </w:rPr>
        <w:t>人。</w:t>
      </w:r>
      <w:r>
        <w:rPr>
          <w:rFonts w:hint="eastAsia" w:ascii="宋体" w:hAnsi="宋体" w:cs="Arial"/>
          <w:color w:val="333333"/>
          <w:kern w:val="0"/>
          <w:sz w:val="28"/>
          <w:szCs w:val="28"/>
        </w:rPr>
        <w:t>我局内设股室</w:t>
      </w:r>
      <w:r>
        <w:rPr>
          <w:rFonts w:ascii="宋体" w:hAnsi="宋体" w:cs="Arial"/>
          <w:color w:val="333333"/>
          <w:kern w:val="0"/>
          <w:sz w:val="28"/>
          <w:szCs w:val="28"/>
        </w:rPr>
        <w:t xml:space="preserve"> 5 </w:t>
      </w:r>
      <w:r>
        <w:rPr>
          <w:rFonts w:hint="eastAsia" w:ascii="宋体" w:hAnsi="宋体" w:cs="Arial"/>
          <w:color w:val="333333"/>
          <w:kern w:val="0"/>
          <w:sz w:val="28"/>
          <w:szCs w:val="28"/>
        </w:rPr>
        <w:t>个，所属事业单位</w:t>
      </w:r>
      <w:r>
        <w:rPr>
          <w:rFonts w:ascii="宋体" w:hAnsi="宋体" w:cs="Arial"/>
          <w:color w:val="333333"/>
          <w:kern w:val="0"/>
          <w:sz w:val="28"/>
          <w:szCs w:val="28"/>
        </w:rPr>
        <w:t xml:space="preserve">  </w:t>
      </w:r>
      <w:r>
        <w:rPr>
          <w:rFonts w:hint="eastAsia" w:ascii="宋体" w:hAnsi="宋体" w:cs="Arial"/>
          <w:color w:val="333333"/>
          <w:kern w:val="0"/>
          <w:sz w:val="28"/>
          <w:szCs w:val="28"/>
        </w:rPr>
        <w:t>3个</w:t>
      </w:r>
      <w:r>
        <w:rPr>
          <w:rFonts w:hint="eastAsia" w:ascii="宋体" w:hAnsi="宋体"/>
          <w:sz w:val="28"/>
          <w:szCs w:val="28"/>
        </w:rPr>
        <w:t>。</w:t>
      </w:r>
    </w:p>
    <w:p>
      <w:pPr>
        <w:spacing w:line="600" w:lineRule="exact"/>
        <w:ind w:firstLine="560" w:firstLineChars="200"/>
        <w:jc w:val="left"/>
        <w:rPr>
          <w:rFonts w:ascii="宋体"/>
          <w:sz w:val="28"/>
          <w:szCs w:val="28"/>
        </w:rPr>
      </w:pPr>
      <w:r>
        <w:rPr>
          <w:rFonts w:hint="eastAsia" w:ascii="宋体" w:hAnsi="宋体"/>
          <w:sz w:val="28"/>
          <w:szCs w:val="28"/>
        </w:rPr>
        <w:t>部门收入支出概况：</w:t>
      </w:r>
    </w:p>
    <w:p>
      <w:pPr>
        <w:spacing w:line="600" w:lineRule="exact"/>
        <w:ind w:firstLine="560" w:firstLineChars="200"/>
        <w:jc w:val="left"/>
        <w:rPr>
          <w:rFonts w:ascii="宋体"/>
          <w:sz w:val="28"/>
          <w:szCs w:val="28"/>
        </w:rPr>
      </w:pPr>
      <w:r>
        <w:rPr>
          <w:rFonts w:hint="eastAsia" w:ascii="宋体" w:hAnsi="宋体"/>
          <w:sz w:val="28"/>
          <w:szCs w:val="28"/>
        </w:rPr>
        <w:t>本年收入</w:t>
      </w:r>
      <w:r>
        <w:rPr>
          <w:rFonts w:hint="eastAsia" w:ascii="宋体" w:hAnsi="宋体"/>
          <w:sz w:val="28"/>
          <w:szCs w:val="28"/>
          <w:lang w:val="en-US" w:eastAsia="zh-CN"/>
        </w:rPr>
        <w:t>8324.50</w:t>
      </w:r>
      <w:r>
        <w:rPr>
          <w:rFonts w:hint="eastAsia" w:ascii="宋体" w:hAnsi="宋体"/>
          <w:sz w:val="28"/>
          <w:szCs w:val="28"/>
        </w:rPr>
        <w:t>万元，其中一般公共预算拨款</w:t>
      </w:r>
      <w:r>
        <w:rPr>
          <w:rFonts w:hint="eastAsia" w:ascii="宋体" w:hAnsi="宋体"/>
          <w:sz w:val="28"/>
          <w:szCs w:val="28"/>
          <w:lang w:val="en-US" w:eastAsia="zh-CN"/>
        </w:rPr>
        <w:t>8324.50</w:t>
      </w:r>
      <w:r>
        <w:rPr>
          <w:rFonts w:hint="eastAsia" w:ascii="宋体" w:hAnsi="宋体"/>
          <w:sz w:val="28"/>
          <w:szCs w:val="28"/>
        </w:rPr>
        <w:t>万元。</w:t>
      </w:r>
    </w:p>
    <w:p>
      <w:pPr>
        <w:spacing w:line="600" w:lineRule="exact"/>
        <w:ind w:firstLine="560" w:firstLineChars="200"/>
        <w:jc w:val="left"/>
        <w:rPr>
          <w:rFonts w:ascii="宋体"/>
          <w:sz w:val="28"/>
          <w:szCs w:val="28"/>
        </w:rPr>
      </w:pPr>
      <w:r>
        <w:rPr>
          <w:rFonts w:hint="eastAsia" w:ascii="宋体" w:hAnsi="宋体"/>
          <w:sz w:val="28"/>
          <w:szCs w:val="28"/>
        </w:rPr>
        <w:t>本年支出</w:t>
      </w:r>
      <w:r>
        <w:rPr>
          <w:rFonts w:hint="eastAsia" w:ascii="宋体" w:hAnsi="宋体"/>
          <w:sz w:val="28"/>
          <w:szCs w:val="28"/>
          <w:lang w:val="en-US" w:eastAsia="zh-CN"/>
        </w:rPr>
        <w:t>8324.50</w:t>
      </w:r>
      <w:r>
        <w:rPr>
          <w:rFonts w:hint="eastAsia" w:ascii="宋体" w:hAnsi="宋体"/>
          <w:sz w:val="28"/>
          <w:szCs w:val="28"/>
        </w:rPr>
        <w:t>万元，基本支出</w:t>
      </w:r>
      <w:r>
        <w:rPr>
          <w:rFonts w:hint="eastAsia" w:ascii="宋体" w:hAnsi="宋体"/>
          <w:sz w:val="28"/>
          <w:szCs w:val="28"/>
          <w:lang w:val="en-US" w:eastAsia="zh-CN"/>
        </w:rPr>
        <w:t>269.11</w:t>
      </w:r>
      <w:r>
        <w:rPr>
          <w:rFonts w:hint="eastAsia" w:ascii="宋体" w:hAnsi="宋体"/>
          <w:sz w:val="28"/>
          <w:szCs w:val="28"/>
        </w:rPr>
        <w:t>万元，项目支出</w:t>
      </w:r>
      <w:r>
        <w:rPr>
          <w:rFonts w:hint="eastAsia" w:ascii="宋体" w:hAnsi="宋体"/>
          <w:sz w:val="28"/>
          <w:szCs w:val="28"/>
          <w:lang w:val="en-US" w:eastAsia="zh-CN"/>
        </w:rPr>
        <w:t>8055.39</w:t>
      </w:r>
      <w:r>
        <w:rPr>
          <w:rFonts w:hint="eastAsia" w:ascii="宋体" w:hAnsi="宋体"/>
          <w:sz w:val="28"/>
          <w:szCs w:val="28"/>
        </w:rPr>
        <w:t>万元。</w:t>
      </w:r>
    </w:p>
    <w:p>
      <w:pPr>
        <w:pStyle w:val="5"/>
        <w:spacing w:before="0" w:beforeAutospacing="0" w:after="0" w:afterAutospacing="0" w:line="480" w:lineRule="auto"/>
        <w:rPr>
          <w:sz w:val="28"/>
          <w:szCs w:val="28"/>
        </w:rPr>
      </w:pPr>
      <w:r>
        <w:rPr>
          <w:rFonts w:hint="eastAsia"/>
          <w:sz w:val="28"/>
          <w:szCs w:val="28"/>
        </w:rPr>
        <w:t>（一）</w:t>
      </w:r>
      <w:r>
        <w:rPr>
          <w:sz w:val="28"/>
          <w:szCs w:val="28"/>
        </w:rPr>
        <w:t> </w:t>
      </w:r>
      <w:r>
        <w:rPr>
          <w:rFonts w:hint="eastAsia"/>
          <w:sz w:val="28"/>
          <w:szCs w:val="28"/>
        </w:rPr>
        <w:t>项目概况：</w:t>
      </w:r>
    </w:p>
    <w:p>
      <w:pPr>
        <w:spacing w:line="560" w:lineRule="exact"/>
        <w:ind w:firstLine="560" w:firstLineChars="200"/>
        <w:rPr>
          <w:rFonts w:ascii="宋体" w:hAnsi="宋体"/>
          <w:sz w:val="28"/>
          <w:szCs w:val="28"/>
        </w:rPr>
      </w:pPr>
      <w:r>
        <w:rPr>
          <w:sz w:val="28"/>
          <w:szCs w:val="28"/>
        </w:rPr>
        <w:t xml:space="preserve">    </w:t>
      </w:r>
      <w:r>
        <w:rPr>
          <w:rFonts w:hint="eastAsia" w:ascii="宋体" w:hAnsi="宋体"/>
          <w:sz w:val="28"/>
          <w:szCs w:val="28"/>
        </w:rPr>
        <w:t>1、</w:t>
      </w:r>
      <w:r>
        <w:rPr>
          <w:rFonts w:hint="eastAsia" w:ascii="宋体" w:hAnsi="宋体" w:cs="宋体"/>
          <w:sz w:val="28"/>
          <w:szCs w:val="28"/>
        </w:rPr>
        <w:t>贯彻执行党和国家、省委和省政府关于退役军人思想政治、管理保障和安置优抚等工作政策法规，拟订全是退役军人事务发展规划和政策，并组织实施：褒扬彰显退役军人为党、国家和人民牺牲奉献的精神风范和价值导向</w:t>
      </w:r>
      <w:r>
        <w:rPr>
          <w:rFonts w:hint="eastAsia" w:ascii="宋体" w:hAnsi="宋体"/>
          <w:sz w:val="28"/>
          <w:szCs w:val="28"/>
        </w:rPr>
        <w:t>。2、</w:t>
      </w:r>
      <w:r>
        <w:rPr>
          <w:rFonts w:hint="eastAsia" w:ascii="宋体" w:hAnsi="宋体" w:cs="宋体"/>
          <w:sz w:val="28"/>
          <w:szCs w:val="28"/>
        </w:rPr>
        <w:t>负责全市军队转业干部、复员干部、离退休干部、退役士兵和无军籍退休退职职工的移交安置工作和自主择业、就业退役军人服务管理工作</w:t>
      </w:r>
      <w:r>
        <w:rPr>
          <w:rFonts w:hint="eastAsia" w:ascii="宋体" w:hAnsi="宋体"/>
          <w:sz w:val="28"/>
          <w:szCs w:val="28"/>
        </w:rPr>
        <w:t>。3、</w:t>
      </w:r>
      <w:r>
        <w:rPr>
          <w:rFonts w:hint="eastAsia" w:ascii="宋体" w:hAnsi="宋体" w:cs="宋体"/>
          <w:sz w:val="28"/>
          <w:szCs w:val="28"/>
        </w:rPr>
        <w:t>组织指导全市退役军人教育培训工作，协调扶持退役军人和随军随调家属就业创业</w:t>
      </w:r>
      <w:r>
        <w:rPr>
          <w:rFonts w:hint="eastAsia" w:ascii="宋体" w:hAnsi="宋体"/>
          <w:sz w:val="28"/>
          <w:szCs w:val="28"/>
        </w:rPr>
        <w:t>。 4、</w:t>
      </w:r>
      <w:r>
        <w:rPr>
          <w:rFonts w:hint="eastAsia" w:ascii="宋体" w:hAnsi="宋体" w:cs="宋体"/>
          <w:sz w:val="28"/>
          <w:szCs w:val="28"/>
        </w:rPr>
        <w:t>贯彻落实国家和省市关于退役军人的特殊保障政策，会同有关部门制定相关政策，并组织实施</w:t>
      </w:r>
      <w:r>
        <w:rPr>
          <w:rFonts w:hint="eastAsia" w:ascii="宋体" w:hAnsi="宋体"/>
          <w:sz w:val="28"/>
          <w:szCs w:val="28"/>
        </w:rPr>
        <w:t>。5、组织协调落实全市移交地方的离休退休军人、符合条件的其他退役军人和无军籍退休退职职工的住房保障工作，以及退役军人医疗保障、社会保险的待遇保障工作。6、组织指导全市伤残退役军人服务管理和抚恤工作，贯彻落实有关退役军人医疗、疗养、养老等机构的规划政策并指导实施。承担全市不适宜继续服役的伤残军人相关工作。组织指导全市军供服务保障工作。7、</w:t>
      </w:r>
      <w:r>
        <w:rPr>
          <w:rFonts w:ascii="宋体" w:hAnsi="宋体"/>
          <w:sz w:val="28"/>
          <w:szCs w:val="28"/>
        </w:rPr>
        <w:t>组织指导全市拥军优属工作</w:t>
      </w:r>
      <w:r>
        <w:rPr>
          <w:rFonts w:hint="eastAsia" w:ascii="宋体" w:hAnsi="宋体"/>
          <w:sz w:val="28"/>
          <w:szCs w:val="28"/>
        </w:rPr>
        <w:t>。</w:t>
      </w:r>
      <w:r>
        <w:rPr>
          <w:rFonts w:ascii="宋体" w:hAnsi="宋体"/>
          <w:sz w:val="28"/>
          <w:szCs w:val="28"/>
        </w:rPr>
        <w:t>负责全市现役军人</w:t>
      </w:r>
      <w:r>
        <w:rPr>
          <w:rFonts w:hint="eastAsia" w:ascii="宋体" w:hAnsi="宋体"/>
          <w:sz w:val="28"/>
          <w:szCs w:val="28"/>
        </w:rPr>
        <w:t>、</w:t>
      </w:r>
      <w:r>
        <w:rPr>
          <w:rFonts w:ascii="宋体" w:hAnsi="宋体"/>
          <w:sz w:val="28"/>
          <w:szCs w:val="28"/>
        </w:rPr>
        <w:t>退役军人</w:t>
      </w:r>
      <w:r>
        <w:rPr>
          <w:rFonts w:hint="eastAsia" w:ascii="宋体" w:hAnsi="宋体"/>
          <w:sz w:val="28"/>
          <w:szCs w:val="28"/>
        </w:rPr>
        <w:t>、</w:t>
      </w:r>
      <w:r>
        <w:rPr>
          <w:rFonts w:ascii="宋体" w:hAnsi="宋体"/>
          <w:sz w:val="28"/>
          <w:szCs w:val="28"/>
        </w:rPr>
        <w:t>军队文职人员和军属优待</w:t>
      </w:r>
      <w:r>
        <w:rPr>
          <w:rFonts w:hint="eastAsia" w:ascii="宋体" w:hAnsi="宋体"/>
          <w:sz w:val="28"/>
          <w:szCs w:val="28"/>
        </w:rPr>
        <w:t>、</w:t>
      </w:r>
      <w:r>
        <w:rPr>
          <w:rFonts w:ascii="宋体" w:hAnsi="宋体"/>
          <w:sz w:val="28"/>
          <w:szCs w:val="28"/>
        </w:rPr>
        <w:t>抚恤等工作</w:t>
      </w:r>
      <w:r>
        <w:rPr>
          <w:rFonts w:hint="eastAsia" w:ascii="宋体" w:hAnsi="宋体"/>
          <w:sz w:val="28"/>
          <w:szCs w:val="28"/>
        </w:rPr>
        <w:t>；</w:t>
      </w:r>
      <w:r>
        <w:rPr>
          <w:rFonts w:ascii="宋体" w:hAnsi="宋体"/>
          <w:sz w:val="28"/>
          <w:szCs w:val="28"/>
        </w:rPr>
        <w:t>贯彻执行国家关于国民党抗战老兵等有关人员优待政策并指导实施</w:t>
      </w:r>
      <w:r>
        <w:rPr>
          <w:rFonts w:hint="eastAsia" w:ascii="宋体" w:hAnsi="宋体"/>
          <w:sz w:val="28"/>
          <w:szCs w:val="28"/>
        </w:rPr>
        <w:t>。8、</w:t>
      </w:r>
      <w:r>
        <w:rPr>
          <w:rFonts w:hint="eastAsia" w:ascii="宋体" w:hAnsi="宋体" w:cs="宋体"/>
          <w:sz w:val="28"/>
          <w:szCs w:val="28"/>
        </w:rPr>
        <w:t>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r>
        <w:rPr>
          <w:rFonts w:hint="eastAsia" w:ascii="宋体" w:hAnsi="宋体"/>
          <w:sz w:val="28"/>
          <w:szCs w:val="28"/>
        </w:rPr>
        <w:t>。9、指导并监督检查退役军人相关法律法规和政策措施的落实；开展全市退役军人权益维护和有关人员的帮扶援助工作。10、完成市委、市政府和上级主管部门交办的其他任务。11、职能转变。是退役军人事务局应加强退役军人思想政治工作和服务保障体系建设，建立健全集中统一、职责清晰的退役军人管理保障体制，协调各方力量更好的为军人军属服务，维护军人军属合法权益，让军人成为全社会尊崇的职业，褒扬彰显退役军人为党、国家和人民牺牲奉献的精神风范和价值导向，更好地为增强部队战斗力和凝聚力做好组织保障。</w:t>
      </w:r>
      <w:r>
        <w:rPr>
          <w:rFonts w:hint="eastAsia"/>
          <w:sz w:val="28"/>
          <w:szCs w:val="28"/>
        </w:rPr>
        <w:t>（二）</w:t>
      </w:r>
      <w:r>
        <w:rPr>
          <w:sz w:val="28"/>
          <w:szCs w:val="28"/>
        </w:rPr>
        <w:t> </w:t>
      </w:r>
      <w:r>
        <w:rPr>
          <w:rFonts w:hint="eastAsia"/>
          <w:sz w:val="28"/>
          <w:szCs w:val="28"/>
        </w:rPr>
        <w:t>项目绩效总目标和阶段性目标完成情况：</w:t>
      </w:r>
    </w:p>
    <w:p>
      <w:pPr>
        <w:pStyle w:val="5"/>
        <w:spacing w:before="0" w:beforeAutospacing="0" w:after="0" w:afterAutospacing="0" w:line="480" w:lineRule="auto"/>
        <w:ind w:firstLine="480"/>
        <w:rPr>
          <w:sz w:val="28"/>
          <w:szCs w:val="28"/>
        </w:rPr>
      </w:pPr>
      <w:r>
        <w:rPr>
          <w:rFonts w:hint="eastAsia"/>
          <w:sz w:val="28"/>
          <w:szCs w:val="28"/>
        </w:rPr>
        <w:t>按照各项专项资金管理的要求，认真组织落实，确保了各项项目年底全面完成，并及时将各项专项资金拨付。</w:t>
      </w:r>
    </w:p>
    <w:p>
      <w:pPr>
        <w:pStyle w:val="5"/>
        <w:spacing w:before="0" w:beforeAutospacing="0" w:after="0" w:afterAutospacing="0" w:line="480" w:lineRule="auto"/>
        <w:rPr>
          <w:color w:val="333333"/>
          <w:sz w:val="28"/>
          <w:szCs w:val="28"/>
          <w:shd w:val="clear" w:color="auto" w:fill="FFFFFF"/>
        </w:rPr>
      </w:pPr>
      <w:r>
        <w:rPr>
          <w:rFonts w:hint="eastAsia"/>
          <w:color w:val="333333"/>
          <w:sz w:val="28"/>
          <w:szCs w:val="28"/>
          <w:shd w:val="clear" w:color="auto" w:fill="FFFFFF"/>
        </w:rPr>
        <w:t>（三）项目实施情况分析</w:t>
      </w:r>
    </w:p>
    <w:p>
      <w:pPr>
        <w:pStyle w:val="5"/>
        <w:spacing w:before="0" w:beforeAutospacing="0" w:after="0" w:afterAutospacing="0" w:line="480" w:lineRule="auto"/>
        <w:ind w:firstLine="480"/>
        <w:rPr>
          <w:sz w:val="28"/>
          <w:szCs w:val="28"/>
        </w:rPr>
      </w:pPr>
      <w:r>
        <w:rPr>
          <w:rFonts w:hint="eastAsia"/>
          <w:sz w:val="28"/>
          <w:szCs w:val="28"/>
        </w:rPr>
        <w:t>我局严格按</w:t>
      </w:r>
      <w:r>
        <w:rPr>
          <w:sz w:val="28"/>
          <w:szCs w:val="28"/>
        </w:rPr>
        <w:t>照确保退役军人</w:t>
      </w:r>
      <w:r>
        <w:rPr>
          <w:rFonts w:hint="eastAsia"/>
          <w:sz w:val="28"/>
          <w:szCs w:val="28"/>
        </w:rPr>
        <w:t>安置优抚，维护军人军属合法权益，让军人成为全社会尊崇的职业的总体目标要求组织落实各项专项资金。202</w:t>
      </w:r>
      <w:r>
        <w:rPr>
          <w:rFonts w:hint="eastAsia"/>
          <w:sz w:val="28"/>
          <w:szCs w:val="28"/>
          <w:lang w:val="en-US" w:eastAsia="zh-CN"/>
        </w:rPr>
        <w:t>1</w:t>
      </w:r>
      <w:r>
        <w:rPr>
          <w:rFonts w:hint="eastAsia"/>
          <w:sz w:val="28"/>
          <w:szCs w:val="28"/>
        </w:rPr>
        <w:t>年专项资金支出</w:t>
      </w:r>
      <w:r>
        <w:rPr>
          <w:rFonts w:hint="eastAsia"/>
          <w:sz w:val="28"/>
          <w:szCs w:val="28"/>
          <w:lang w:val="en-US" w:eastAsia="zh-CN"/>
        </w:rPr>
        <w:t>8055.39</w:t>
      </w:r>
      <w:r>
        <w:rPr>
          <w:rFonts w:hint="eastAsia"/>
          <w:sz w:val="28"/>
          <w:szCs w:val="28"/>
        </w:rPr>
        <w:t>万元，其中拥军优抚项目支出</w:t>
      </w:r>
      <w:r>
        <w:rPr>
          <w:rFonts w:hint="eastAsia"/>
          <w:sz w:val="28"/>
          <w:szCs w:val="28"/>
          <w:lang w:val="en-US" w:eastAsia="zh-CN"/>
        </w:rPr>
        <w:t>7665.98</w:t>
      </w:r>
      <w:r>
        <w:rPr>
          <w:rFonts w:hint="eastAsia"/>
          <w:sz w:val="28"/>
          <w:szCs w:val="28"/>
        </w:rPr>
        <w:t>万元；移交安置项目  支出</w:t>
      </w:r>
      <w:r>
        <w:rPr>
          <w:rFonts w:hint="eastAsia"/>
          <w:sz w:val="28"/>
          <w:szCs w:val="28"/>
          <w:lang w:val="en-US" w:eastAsia="zh-CN"/>
        </w:rPr>
        <w:t>351.97</w:t>
      </w:r>
      <w:r>
        <w:rPr>
          <w:rFonts w:hint="eastAsia"/>
          <w:sz w:val="28"/>
          <w:szCs w:val="28"/>
        </w:rPr>
        <w:t>万元；退役军人管理事务项目支出</w:t>
      </w:r>
      <w:r>
        <w:rPr>
          <w:rFonts w:hint="eastAsia"/>
          <w:sz w:val="28"/>
          <w:szCs w:val="28"/>
          <w:lang w:val="en-US" w:eastAsia="zh-CN"/>
        </w:rPr>
        <w:t>37.44</w:t>
      </w:r>
      <w:r>
        <w:rPr>
          <w:rFonts w:hint="eastAsia"/>
          <w:sz w:val="28"/>
          <w:szCs w:val="28"/>
        </w:rPr>
        <w:t>万元。各项补助资金和专项资金，严格遵循资金的专款专用，独立核算管理的原则，加强对财政性资金的监督管理，资金的支付坚持审批审核程序和完成进度进行拨付。</w:t>
      </w:r>
    </w:p>
    <w:p>
      <w:pPr>
        <w:pStyle w:val="5"/>
        <w:spacing w:before="0" w:beforeAutospacing="0" w:after="0" w:afterAutospacing="0" w:line="480" w:lineRule="auto"/>
        <w:ind w:firstLine="140" w:firstLineChars="50"/>
        <w:rPr>
          <w:sz w:val="28"/>
          <w:szCs w:val="28"/>
        </w:rPr>
      </w:pPr>
      <w:r>
        <w:rPr>
          <w:rFonts w:hint="eastAsia"/>
          <w:sz w:val="28"/>
          <w:szCs w:val="28"/>
        </w:rPr>
        <w:t>二、绩效评价工作情</w:t>
      </w:r>
    </w:p>
    <w:p>
      <w:pPr>
        <w:pStyle w:val="5"/>
        <w:spacing w:before="0" w:beforeAutospacing="0" w:after="0" w:afterAutospacing="0" w:line="480" w:lineRule="auto"/>
        <w:rPr>
          <w:sz w:val="28"/>
          <w:szCs w:val="28"/>
        </w:rPr>
      </w:pPr>
      <w:r>
        <w:rPr>
          <w:rFonts w:hint="eastAsia"/>
          <w:sz w:val="28"/>
          <w:szCs w:val="28"/>
        </w:rPr>
        <w:t>（一）绩效评价目的</w:t>
      </w:r>
    </w:p>
    <w:p>
      <w:pPr>
        <w:pStyle w:val="5"/>
        <w:spacing w:before="0" w:beforeAutospacing="0" w:after="0" w:afterAutospacing="0" w:line="480" w:lineRule="auto"/>
        <w:ind w:firstLine="480"/>
        <w:rPr>
          <w:sz w:val="28"/>
          <w:szCs w:val="28"/>
        </w:rPr>
      </w:pPr>
      <w:r>
        <w:rPr>
          <w:rFonts w:hint="eastAsia"/>
          <w:sz w:val="28"/>
          <w:szCs w:val="28"/>
        </w:rPr>
        <w:t>全面分析和综合评价，是为了加强我局财政资金的使用管理，提高财政资金的使用效益，强化支出的责任和效率。</w:t>
      </w:r>
    </w:p>
    <w:p>
      <w:pPr>
        <w:rPr>
          <w:rFonts w:ascii="宋体"/>
          <w:sz w:val="28"/>
          <w:szCs w:val="28"/>
        </w:rPr>
      </w:pPr>
      <w:r>
        <w:rPr>
          <w:rFonts w:hint="eastAsia" w:ascii="宋体" w:hAnsi="宋体"/>
          <w:sz w:val="28"/>
          <w:szCs w:val="28"/>
        </w:rPr>
        <w:t>（二）绩效评价工作过程</w:t>
      </w:r>
    </w:p>
    <w:p>
      <w:pPr>
        <w:pStyle w:val="5"/>
        <w:spacing w:before="0" w:beforeAutospacing="0" w:after="0" w:afterAutospacing="0" w:line="480" w:lineRule="auto"/>
        <w:ind w:firstLine="480"/>
        <w:rPr>
          <w:sz w:val="28"/>
          <w:szCs w:val="28"/>
        </w:rPr>
      </w:pPr>
      <w:r>
        <w:rPr>
          <w:sz w:val="28"/>
          <w:szCs w:val="28"/>
        </w:rPr>
        <w:t>1. </w:t>
      </w:r>
      <w:r>
        <w:rPr>
          <w:rFonts w:hint="eastAsia"/>
          <w:sz w:val="28"/>
          <w:szCs w:val="28"/>
        </w:rPr>
        <w:t>前期准备</w:t>
      </w:r>
    </w:p>
    <w:p>
      <w:pPr>
        <w:pStyle w:val="5"/>
        <w:spacing w:before="0" w:beforeAutospacing="0" w:after="0" w:afterAutospacing="0" w:line="480" w:lineRule="auto"/>
        <w:ind w:firstLine="480"/>
        <w:rPr>
          <w:sz w:val="28"/>
          <w:szCs w:val="28"/>
        </w:rPr>
      </w:pPr>
      <w:r>
        <w:rPr>
          <w:rFonts w:hint="eastAsia"/>
          <w:sz w:val="28"/>
          <w:szCs w:val="28"/>
        </w:rPr>
        <w:t>按照绩效评价工作的要求，学习和了解绩效评价的内容，制定绩效评价实施方案，收集和整理各项支出资金项目的相关资料。</w:t>
      </w:r>
    </w:p>
    <w:p>
      <w:pPr>
        <w:pStyle w:val="5"/>
        <w:spacing w:before="0" w:beforeAutospacing="0" w:after="0" w:afterAutospacing="0" w:line="480" w:lineRule="auto"/>
        <w:ind w:firstLine="480"/>
        <w:rPr>
          <w:sz w:val="28"/>
          <w:szCs w:val="28"/>
        </w:rPr>
      </w:pPr>
      <w:r>
        <w:rPr>
          <w:sz w:val="28"/>
          <w:szCs w:val="28"/>
        </w:rPr>
        <w:t>2. </w:t>
      </w:r>
      <w:r>
        <w:rPr>
          <w:rFonts w:hint="eastAsia"/>
          <w:sz w:val="28"/>
          <w:szCs w:val="28"/>
        </w:rPr>
        <w:t>组织实施</w:t>
      </w:r>
    </w:p>
    <w:p>
      <w:pPr>
        <w:pStyle w:val="5"/>
        <w:spacing w:before="0" w:beforeAutospacing="0" w:after="0" w:afterAutospacing="0" w:line="480" w:lineRule="auto"/>
        <w:ind w:firstLine="480"/>
        <w:rPr>
          <w:sz w:val="28"/>
          <w:szCs w:val="28"/>
        </w:rPr>
      </w:pPr>
      <w:r>
        <w:rPr>
          <w:rFonts w:hint="eastAsia"/>
          <w:sz w:val="28"/>
          <w:szCs w:val="28"/>
        </w:rPr>
        <w:t>对</w:t>
      </w:r>
      <w:r>
        <w:rPr>
          <w:sz w:val="28"/>
          <w:szCs w:val="28"/>
        </w:rPr>
        <w:t>20</w:t>
      </w:r>
      <w:r>
        <w:rPr>
          <w:rFonts w:hint="eastAsia"/>
          <w:sz w:val="28"/>
          <w:szCs w:val="28"/>
        </w:rPr>
        <w:t>2</w:t>
      </w:r>
      <w:r>
        <w:rPr>
          <w:rFonts w:hint="eastAsia"/>
          <w:sz w:val="28"/>
          <w:szCs w:val="28"/>
          <w:lang w:val="en-US" w:eastAsia="zh-CN"/>
        </w:rPr>
        <w:t>1</w:t>
      </w:r>
      <w:r>
        <w:rPr>
          <w:rFonts w:hint="eastAsia"/>
          <w:sz w:val="28"/>
          <w:szCs w:val="28"/>
        </w:rPr>
        <w:t>年资金管理，建立内部控制制度。根据单位职能和年初制定的绩效考核目标对各专项资金进行绩效考评。</w:t>
      </w:r>
    </w:p>
    <w:p>
      <w:pPr>
        <w:pStyle w:val="5"/>
        <w:spacing w:before="0" w:beforeAutospacing="0" w:after="0" w:afterAutospacing="0" w:line="480" w:lineRule="auto"/>
        <w:ind w:firstLine="480"/>
        <w:rPr>
          <w:sz w:val="28"/>
          <w:szCs w:val="28"/>
        </w:rPr>
      </w:pPr>
      <w:r>
        <w:rPr>
          <w:sz w:val="28"/>
          <w:szCs w:val="28"/>
        </w:rPr>
        <w:t>3. </w:t>
      </w:r>
      <w:r>
        <w:rPr>
          <w:rFonts w:hint="eastAsia"/>
          <w:sz w:val="28"/>
          <w:szCs w:val="28"/>
        </w:rPr>
        <w:t>分析评价</w:t>
      </w:r>
    </w:p>
    <w:p>
      <w:pPr>
        <w:pStyle w:val="5"/>
        <w:spacing w:before="0" w:beforeAutospacing="0" w:after="0" w:afterAutospacing="0" w:line="480" w:lineRule="auto"/>
        <w:ind w:left="315" w:leftChars="150" w:firstLine="560" w:firstLineChars="200"/>
        <w:rPr>
          <w:sz w:val="28"/>
          <w:szCs w:val="28"/>
        </w:rPr>
      </w:pPr>
      <w:r>
        <w:rPr>
          <w:rFonts w:hint="eastAsia"/>
          <w:sz w:val="28"/>
          <w:szCs w:val="28"/>
        </w:rPr>
        <w:t>根据考核情况，对收集的资料进行整理、汇总分析，并依据前期制定的绩效评价指标体系进行综合评分。</w:t>
      </w:r>
    </w:p>
    <w:p>
      <w:pPr>
        <w:pStyle w:val="5"/>
        <w:spacing w:before="0" w:beforeAutospacing="0" w:after="0" w:afterAutospacing="0" w:line="480" w:lineRule="auto"/>
        <w:rPr>
          <w:sz w:val="28"/>
          <w:szCs w:val="28"/>
        </w:rPr>
      </w:pPr>
      <w:r>
        <w:rPr>
          <w:rFonts w:hint="eastAsia"/>
          <w:sz w:val="28"/>
          <w:szCs w:val="28"/>
        </w:rPr>
        <w:t>三、项目主要绩效及评价结论</w:t>
      </w:r>
    </w:p>
    <w:p>
      <w:pPr>
        <w:pStyle w:val="5"/>
        <w:spacing w:before="0" w:beforeAutospacing="0" w:after="0" w:afterAutospacing="0" w:line="480" w:lineRule="auto"/>
        <w:ind w:firstLine="560" w:firstLineChars="200"/>
        <w:rPr>
          <w:sz w:val="28"/>
          <w:szCs w:val="28"/>
        </w:rPr>
      </w:pPr>
      <w:r>
        <w:rPr>
          <w:sz w:val="28"/>
          <w:szCs w:val="28"/>
        </w:rPr>
        <w:t>20</w:t>
      </w:r>
      <w:r>
        <w:rPr>
          <w:rFonts w:hint="eastAsia"/>
          <w:sz w:val="28"/>
          <w:szCs w:val="28"/>
        </w:rPr>
        <w:t>2</w:t>
      </w:r>
      <w:r>
        <w:rPr>
          <w:rFonts w:hint="eastAsia"/>
          <w:sz w:val="28"/>
          <w:szCs w:val="28"/>
          <w:lang w:val="en-US" w:eastAsia="zh-CN"/>
        </w:rPr>
        <w:t>1</w:t>
      </w:r>
      <w:r>
        <w:rPr>
          <w:rFonts w:hint="eastAsia"/>
          <w:sz w:val="28"/>
          <w:szCs w:val="28"/>
        </w:rPr>
        <w:t>年我局完成支出</w:t>
      </w:r>
      <w:r>
        <w:rPr>
          <w:rFonts w:hint="eastAsia"/>
          <w:sz w:val="28"/>
          <w:szCs w:val="28"/>
          <w:lang w:val="en-US" w:eastAsia="zh-CN"/>
        </w:rPr>
        <w:t>8324.50</w:t>
      </w:r>
      <w:r>
        <w:rPr>
          <w:rFonts w:hint="eastAsia"/>
          <w:sz w:val="28"/>
          <w:szCs w:val="28"/>
        </w:rPr>
        <w:t>万元。</w:t>
      </w:r>
      <w:r>
        <w:rPr>
          <w:sz w:val="28"/>
          <w:szCs w:val="28"/>
        </w:rPr>
        <w:t>1</w:t>
      </w:r>
      <w:r>
        <w:rPr>
          <w:rFonts w:hint="eastAsia"/>
          <w:sz w:val="28"/>
          <w:szCs w:val="28"/>
        </w:rPr>
        <w:t>：基本支出，保障了机关的人员经费和日常事务开支；</w:t>
      </w:r>
      <w:r>
        <w:rPr>
          <w:sz w:val="28"/>
          <w:szCs w:val="28"/>
        </w:rPr>
        <w:t>2</w:t>
      </w:r>
      <w:r>
        <w:rPr>
          <w:rFonts w:hint="eastAsia"/>
          <w:sz w:val="28"/>
          <w:szCs w:val="28"/>
        </w:rPr>
        <w:t>：专项资金支出，主要是做好双拥优抚、安置培训和就业创业、部分退役士兵社保接续及涉军维稳工作</w:t>
      </w:r>
      <w:r>
        <w:rPr>
          <w:rFonts w:hint="eastAsia" w:asciiTheme="minorEastAsia" w:hAnsiTheme="minorEastAsia" w:eastAsiaTheme="minorEastAsia"/>
          <w:sz w:val="28"/>
          <w:szCs w:val="28"/>
        </w:rPr>
        <w:t>，</w:t>
      </w:r>
      <w:r>
        <w:rPr>
          <w:rFonts w:asciiTheme="minorEastAsia" w:hAnsiTheme="minorEastAsia" w:eastAsiaTheme="minorEastAsia"/>
          <w:color w:val="000000"/>
          <w:sz w:val="28"/>
          <w:szCs w:val="28"/>
        </w:rPr>
        <w:t>围绕构建全市“大信访”维稳工作格局，确保退役军人这一群体稳定</w:t>
      </w:r>
      <w:r>
        <w:rPr>
          <w:rFonts w:hint="eastAsia" w:asciiTheme="minorEastAsia" w:hAnsiTheme="minorEastAsia" w:eastAsiaTheme="minorEastAsia"/>
          <w:color w:val="000000"/>
          <w:sz w:val="28"/>
          <w:szCs w:val="28"/>
        </w:rPr>
        <w:t>。</w:t>
      </w:r>
      <w:r>
        <w:rPr>
          <w:sz w:val="28"/>
          <w:szCs w:val="28"/>
        </w:rPr>
        <w:t>3:</w:t>
      </w:r>
      <w:r>
        <w:rPr>
          <w:rFonts w:hint="eastAsia"/>
          <w:sz w:val="28"/>
          <w:szCs w:val="28"/>
        </w:rPr>
        <w:t>各项支出严格按照预算控制支出。</w:t>
      </w:r>
      <w:r>
        <w:rPr>
          <w:sz w:val="28"/>
          <w:szCs w:val="28"/>
        </w:rPr>
        <w:t>4</w:t>
      </w:r>
      <w:r>
        <w:rPr>
          <w:rFonts w:hint="eastAsia"/>
          <w:sz w:val="28"/>
          <w:szCs w:val="28"/>
        </w:rPr>
        <w:t>：财政资金支付按审批程序和项目完成进度已及时拨付到位。</w:t>
      </w:r>
    </w:p>
    <w:p>
      <w:pPr>
        <w:pStyle w:val="5"/>
        <w:spacing w:before="0" w:beforeAutospacing="0" w:after="0" w:afterAutospacing="0" w:line="480" w:lineRule="auto"/>
        <w:jc w:val="both"/>
        <w:rPr>
          <w:sz w:val="28"/>
          <w:szCs w:val="28"/>
        </w:rPr>
      </w:pPr>
      <w:r>
        <w:rPr>
          <w:rFonts w:hint="eastAsia"/>
          <w:sz w:val="28"/>
          <w:szCs w:val="28"/>
        </w:rPr>
        <w:t>四、存在的问题</w:t>
      </w:r>
    </w:p>
    <w:p>
      <w:pPr>
        <w:widowControl/>
        <w:spacing w:line="600" w:lineRule="exact"/>
        <w:ind w:firstLine="560" w:firstLineChars="200"/>
        <w:jc w:val="left"/>
        <w:rPr>
          <w:rFonts w:ascii="宋体" w:hAnsi="宋体"/>
          <w:color w:val="000000"/>
          <w:sz w:val="28"/>
          <w:szCs w:val="28"/>
        </w:rPr>
      </w:pPr>
      <w:r>
        <w:rPr>
          <w:rFonts w:ascii="宋体" w:hAnsi="宋体"/>
          <w:color w:val="000000"/>
          <w:sz w:val="28"/>
          <w:szCs w:val="28"/>
        </w:rPr>
        <w:t>1、预算安排经费不足：日常公用经费安排不足、与实际支出相差较多。</w:t>
      </w:r>
    </w:p>
    <w:p>
      <w:pPr>
        <w:pStyle w:val="5"/>
        <w:spacing w:before="0" w:beforeAutospacing="0" w:after="0" w:afterAutospacing="0" w:line="480" w:lineRule="auto"/>
        <w:ind w:firstLine="700" w:firstLineChars="250"/>
        <w:jc w:val="both"/>
        <w:rPr>
          <w:rFonts w:hint="eastAsia"/>
          <w:sz w:val="28"/>
          <w:szCs w:val="28"/>
        </w:rPr>
      </w:pPr>
      <w:r>
        <w:rPr>
          <w:color w:val="000000"/>
          <w:sz w:val="28"/>
          <w:szCs w:val="28"/>
        </w:rPr>
        <w:t>2、公用经费和三公经费</w:t>
      </w:r>
      <w:r>
        <w:rPr>
          <w:rFonts w:hint="eastAsia"/>
          <w:color w:val="000000"/>
          <w:sz w:val="28"/>
          <w:szCs w:val="28"/>
        </w:rPr>
        <w:t>执行有</w:t>
      </w:r>
      <w:r>
        <w:rPr>
          <w:color w:val="000000"/>
          <w:sz w:val="28"/>
          <w:szCs w:val="28"/>
        </w:rPr>
        <w:t>一定难度，基本为刚性支出。</w:t>
      </w:r>
      <w:r>
        <w:rPr>
          <w:rFonts w:hint="eastAsia"/>
          <w:sz w:val="28"/>
          <w:szCs w:val="28"/>
        </w:rPr>
        <w:t xml:space="preserve">       </w:t>
      </w:r>
    </w:p>
    <w:p>
      <w:pPr>
        <w:pStyle w:val="5"/>
        <w:spacing w:before="0" w:beforeAutospacing="0" w:after="0" w:afterAutospacing="0" w:line="480" w:lineRule="auto"/>
        <w:ind w:firstLine="5460" w:firstLineChars="1950"/>
        <w:jc w:val="both"/>
        <w:rPr>
          <w:sz w:val="28"/>
          <w:szCs w:val="28"/>
        </w:rPr>
      </w:pPr>
      <w:r>
        <w:rPr>
          <w:rFonts w:hint="eastAsia"/>
          <w:sz w:val="28"/>
          <w:szCs w:val="28"/>
        </w:rPr>
        <w:t>常宁市退役军人事务局</w:t>
      </w:r>
    </w:p>
    <w:p>
      <w:pPr>
        <w:pStyle w:val="5"/>
        <w:spacing w:before="0" w:beforeAutospacing="0" w:after="0" w:afterAutospacing="0" w:line="480" w:lineRule="auto"/>
        <w:ind w:firstLine="4760" w:firstLineChars="1700"/>
        <w:rPr>
          <w:sz w:val="28"/>
          <w:szCs w:val="28"/>
        </w:rPr>
      </w:pPr>
      <w:r>
        <w:rPr>
          <w:rFonts w:hint="eastAsia"/>
          <w:sz w:val="28"/>
          <w:szCs w:val="28"/>
        </w:rPr>
        <w:t xml:space="preserve">       年</w:t>
      </w:r>
      <w:r>
        <w:rPr>
          <w:rFonts w:hint="eastAsia"/>
          <w:sz w:val="28"/>
          <w:szCs w:val="28"/>
          <w:lang w:val="en-US" w:eastAsia="zh-CN"/>
        </w:rPr>
        <w:t xml:space="preserve">  </w:t>
      </w:r>
      <w:r>
        <w:rPr>
          <w:rFonts w:hint="eastAsia"/>
          <w:sz w:val="28"/>
          <w:szCs w:val="28"/>
        </w:rPr>
        <w:t>月</w:t>
      </w:r>
      <w:bookmarkStart w:id="0" w:name="_GoBack"/>
      <w:bookmarkEnd w:id="0"/>
      <w:r>
        <w:rPr>
          <w:rFonts w:hint="eastAsia"/>
          <w:sz w:val="28"/>
          <w:szCs w:val="28"/>
          <w:lang w:val="en-US" w:eastAsia="zh-CN"/>
        </w:rPr>
        <w:t xml:space="preserve">  </w:t>
      </w:r>
      <w:r>
        <w:rPr>
          <w:rFonts w:hint="eastAsia"/>
          <w:sz w:val="28"/>
          <w:szCs w:val="28"/>
        </w:rPr>
        <w:t>日</w:t>
      </w:r>
    </w:p>
    <w:sectPr>
      <w:headerReference r:id="rId3" w:type="default"/>
      <w:pgSz w:w="11906" w:h="16838"/>
      <w:pgMar w:top="1440" w:right="1416"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M0MDIyNTE1MWI5MDM0YTc4NGM5ODAyNWJhZjRjYjYifQ=="/>
  </w:docVars>
  <w:rsids>
    <w:rsidRoot w:val="00D54E30"/>
    <w:rsid w:val="000008A7"/>
    <w:rsid w:val="000033D5"/>
    <w:rsid w:val="00012B4C"/>
    <w:rsid w:val="00013B2C"/>
    <w:rsid w:val="00023DB6"/>
    <w:rsid w:val="000331FC"/>
    <w:rsid w:val="0003520E"/>
    <w:rsid w:val="000801B0"/>
    <w:rsid w:val="000A706F"/>
    <w:rsid w:val="000C164E"/>
    <w:rsid w:val="000C6901"/>
    <w:rsid w:val="000D1227"/>
    <w:rsid w:val="000D4B96"/>
    <w:rsid w:val="000E6C14"/>
    <w:rsid w:val="000F0F49"/>
    <w:rsid w:val="00103D52"/>
    <w:rsid w:val="00115E4A"/>
    <w:rsid w:val="0012382B"/>
    <w:rsid w:val="00135988"/>
    <w:rsid w:val="00160BD0"/>
    <w:rsid w:val="001A1A7E"/>
    <w:rsid w:val="001C17BF"/>
    <w:rsid w:val="001C5F2C"/>
    <w:rsid w:val="001D3A14"/>
    <w:rsid w:val="001F0CC1"/>
    <w:rsid w:val="001F178B"/>
    <w:rsid w:val="00207024"/>
    <w:rsid w:val="002101E4"/>
    <w:rsid w:val="00213D8A"/>
    <w:rsid w:val="00214100"/>
    <w:rsid w:val="002159C4"/>
    <w:rsid w:val="0023542F"/>
    <w:rsid w:val="00252FED"/>
    <w:rsid w:val="00254B4E"/>
    <w:rsid w:val="002557AE"/>
    <w:rsid w:val="00260DFA"/>
    <w:rsid w:val="00271E70"/>
    <w:rsid w:val="00282080"/>
    <w:rsid w:val="00282839"/>
    <w:rsid w:val="00292989"/>
    <w:rsid w:val="002A6FCE"/>
    <w:rsid w:val="002C6A4F"/>
    <w:rsid w:val="002D5F00"/>
    <w:rsid w:val="002E29C3"/>
    <w:rsid w:val="002F6BEA"/>
    <w:rsid w:val="00302AEA"/>
    <w:rsid w:val="00303B9F"/>
    <w:rsid w:val="00312A22"/>
    <w:rsid w:val="00315136"/>
    <w:rsid w:val="00342DD9"/>
    <w:rsid w:val="00345A48"/>
    <w:rsid w:val="0035226F"/>
    <w:rsid w:val="00352F0B"/>
    <w:rsid w:val="0035440B"/>
    <w:rsid w:val="003664A0"/>
    <w:rsid w:val="00375F51"/>
    <w:rsid w:val="00381003"/>
    <w:rsid w:val="003826D6"/>
    <w:rsid w:val="003A6DFB"/>
    <w:rsid w:val="003B121C"/>
    <w:rsid w:val="003C0430"/>
    <w:rsid w:val="003D3E97"/>
    <w:rsid w:val="003E4018"/>
    <w:rsid w:val="003E6577"/>
    <w:rsid w:val="003E732F"/>
    <w:rsid w:val="003E75D1"/>
    <w:rsid w:val="003F7FA9"/>
    <w:rsid w:val="00417CE5"/>
    <w:rsid w:val="004221B6"/>
    <w:rsid w:val="0042549D"/>
    <w:rsid w:val="004278F1"/>
    <w:rsid w:val="00427D7D"/>
    <w:rsid w:val="00456BB0"/>
    <w:rsid w:val="00470733"/>
    <w:rsid w:val="0047161B"/>
    <w:rsid w:val="004A1B90"/>
    <w:rsid w:val="004B1FF7"/>
    <w:rsid w:val="004D57A3"/>
    <w:rsid w:val="004E256E"/>
    <w:rsid w:val="004F49EF"/>
    <w:rsid w:val="00504B32"/>
    <w:rsid w:val="0051373E"/>
    <w:rsid w:val="00515A06"/>
    <w:rsid w:val="005177C9"/>
    <w:rsid w:val="00526691"/>
    <w:rsid w:val="00551F1A"/>
    <w:rsid w:val="005C3ED8"/>
    <w:rsid w:val="005C5514"/>
    <w:rsid w:val="0061057F"/>
    <w:rsid w:val="00616806"/>
    <w:rsid w:val="00640EF2"/>
    <w:rsid w:val="00640F08"/>
    <w:rsid w:val="00661113"/>
    <w:rsid w:val="00662C2A"/>
    <w:rsid w:val="00672852"/>
    <w:rsid w:val="00683494"/>
    <w:rsid w:val="0069360F"/>
    <w:rsid w:val="006A4321"/>
    <w:rsid w:val="006A7BDE"/>
    <w:rsid w:val="006B2572"/>
    <w:rsid w:val="006C53D6"/>
    <w:rsid w:val="006E3D23"/>
    <w:rsid w:val="007030EB"/>
    <w:rsid w:val="007071B4"/>
    <w:rsid w:val="00712997"/>
    <w:rsid w:val="0071374C"/>
    <w:rsid w:val="00734A68"/>
    <w:rsid w:val="00735C42"/>
    <w:rsid w:val="007A0019"/>
    <w:rsid w:val="007A1D5C"/>
    <w:rsid w:val="007B2542"/>
    <w:rsid w:val="007C500D"/>
    <w:rsid w:val="007C545E"/>
    <w:rsid w:val="007D3160"/>
    <w:rsid w:val="007E64B8"/>
    <w:rsid w:val="00804D8B"/>
    <w:rsid w:val="008301E8"/>
    <w:rsid w:val="0083224A"/>
    <w:rsid w:val="00846A18"/>
    <w:rsid w:val="00850BAF"/>
    <w:rsid w:val="00864208"/>
    <w:rsid w:val="008943D5"/>
    <w:rsid w:val="008A519C"/>
    <w:rsid w:val="008B6B09"/>
    <w:rsid w:val="008C2B5C"/>
    <w:rsid w:val="008D25D8"/>
    <w:rsid w:val="008D2727"/>
    <w:rsid w:val="008E6BC9"/>
    <w:rsid w:val="009078E8"/>
    <w:rsid w:val="009167D8"/>
    <w:rsid w:val="0092079F"/>
    <w:rsid w:val="00923700"/>
    <w:rsid w:val="009534F5"/>
    <w:rsid w:val="009A4CAF"/>
    <w:rsid w:val="009C28F8"/>
    <w:rsid w:val="009D00EA"/>
    <w:rsid w:val="009D556F"/>
    <w:rsid w:val="00A07971"/>
    <w:rsid w:val="00A12FA4"/>
    <w:rsid w:val="00A13FA6"/>
    <w:rsid w:val="00A53679"/>
    <w:rsid w:val="00A94167"/>
    <w:rsid w:val="00A96542"/>
    <w:rsid w:val="00AA16EF"/>
    <w:rsid w:val="00AA45AE"/>
    <w:rsid w:val="00AB63B0"/>
    <w:rsid w:val="00AE4073"/>
    <w:rsid w:val="00AE709E"/>
    <w:rsid w:val="00AF3649"/>
    <w:rsid w:val="00B0598B"/>
    <w:rsid w:val="00B230D0"/>
    <w:rsid w:val="00B248B9"/>
    <w:rsid w:val="00B33E7D"/>
    <w:rsid w:val="00B43947"/>
    <w:rsid w:val="00B47F47"/>
    <w:rsid w:val="00B628D6"/>
    <w:rsid w:val="00B87A18"/>
    <w:rsid w:val="00BA2250"/>
    <w:rsid w:val="00BA7EC4"/>
    <w:rsid w:val="00BB06E1"/>
    <w:rsid w:val="00BB1E76"/>
    <w:rsid w:val="00BB4283"/>
    <w:rsid w:val="00BC02D0"/>
    <w:rsid w:val="00BD44C6"/>
    <w:rsid w:val="00BD7FF5"/>
    <w:rsid w:val="00BF0E8F"/>
    <w:rsid w:val="00C0618F"/>
    <w:rsid w:val="00C262DF"/>
    <w:rsid w:val="00C27903"/>
    <w:rsid w:val="00C437D3"/>
    <w:rsid w:val="00C478A2"/>
    <w:rsid w:val="00C762D5"/>
    <w:rsid w:val="00C81A2B"/>
    <w:rsid w:val="00C83EB9"/>
    <w:rsid w:val="00CB384B"/>
    <w:rsid w:val="00CB5754"/>
    <w:rsid w:val="00CE186B"/>
    <w:rsid w:val="00CE230D"/>
    <w:rsid w:val="00CF0A6C"/>
    <w:rsid w:val="00CF1AD7"/>
    <w:rsid w:val="00CF2339"/>
    <w:rsid w:val="00CF3604"/>
    <w:rsid w:val="00CF52EB"/>
    <w:rsid w:val="00CF6FC3"/>
    <w:rsid w:val="00D142EA"/>
    <w:rsid w:val="00D2030A"/>
    <w:rsid w:val="00D42A2D"/>
    <w:rsid w:val="00D54E30"/>
    <w:rsid w:val="00D64B84"/>
    <w:rsid w:val="00D965E8"/>
    <w:rsid w:val="00DA1615"/>
    <w:rsid w:val="00DB538C"/>
    <w:rsid w:val="00DD03D8"/>
    <w:rsid w:val="00DE6F61"/>
    <w:rsid w:val="00E068E8"/>
    <w:rsid w:val="00E25EE1"/>
    <w:rsid w:val="00EB404F"/>
    <w:rsid w:val="00EE3E4E"/>
    <w:rsid w:val="00EF357E"/>
    <w:rsid w:val="00EF6647"/>
    <w:rsid w:val="00F25033"/>
    <w:rsid w:val="00F878A5"/>
    <w:rsid w:val="00FA0720"/>
    <w:rsid w:val="00FA0E8C"/>
    <w:rsid w:val="00FE241C"/>
    <w:rsid w:val="00FE3168"/>
    <w:rsid w:val="0BB64BEA"/>
    <w:rsid w:val="0CD42E97"/>
    <w:rsid w:val="123C21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uiPriority w:val="99"/>
    <w:rPr>
      <w:color w:val="0000FF"/>
      <w:u w:val="single"/>
    </w:rPr>
  </w:style>
  <w:style w:type="paragraph" w:styleId="9">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0">
    <w:name w:val="页眉 Char"/>
    <w:basedOn w:val="7"/>
    <w:link w:val="4"/>
    <w:locked/>
    <w:uiPriority w:val="99"/>
    <w:rPr>
      <w:rFonts w:cs="Times New Roman"/>
      <w:sz w:val="18"/>
      <w:szCs w:val="18"/>
    </w:rPr>
  </w:style>
  <w:style w:type="character" w:customStyle="1" w:styleId="11">
    <w:name w:val="页脚 Char"/>
    <w:basedOn w:val="7"/>
    <w:link w:val="3"/>
    <w:locked/>
    <w:uiPriority w:val="99"/>
    <w:rPr>
      <w:rFonts w:cs="Times New Roman"/>
      <w:sz w:val="18"/>
      <w:szCs w:val="18"/>
    </w:rPr>
  </w:style>
  <w:style w:type="character" w:customStyle="1" w:styleId="12">
    <w:name w:val="批注框文本 Char"/>
    <w:basedOn w:val="7"/>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1868</Words>
  <Characters>1955</Characters>
  <Lines>14</Lines>
  <Paragraphs>4</Paragraphs>
  <TotalTime>1232</TotalTime>
  <ScaleCrop>false</ScaleCrop>
  <LinksUpToDate>false</LinksUpToDate>
  <CharactersWithSpaces>1990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2017-09-06T02:43:00Z</dcterms:created>
  <dc:creator>Administrator</dc:creator>
  <cp:lastModifiedBy>汪乐蔚</cp:lastModifiedBy>
  <cp:lastPrinted>2018-07-06T00:49:00Z</cp:lastPrinted>
  <dcterms:modified xsi:type="dcterms:W3CDTF">2022-08-31T02:55:04Z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88E237DB98134A55A2F555A6DE7E0B08</vt:lpwstr>
  </property>
</Properties>
</file>