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b/>
          <w:bCs/>
          <w:sz w:val="44"/>
          <w:szCs w:val="44"/>
        </w:rPr>
      </w:pPr>
      <w:r>
        <w:rPr>
          <w:rFonts w:hint="eastAsia" w:cs="宋体"/>
          <w:b/>
          <w:bCs/>
          <w:sz w:val="44"/>
          <w:szCs w:val="44"/>
        </w:rPr>
        <w:t>洋泉镇人民政府</w:t>
      </w:r>
      <w:r>
        <w:rPr>
          <w:rFonts w:hint="eastAsia"/>
          <w:b/>
          <w:bCs/>
          <w:sz w:val="44"/>
          <w:szCs w:val="44"/>
        </w:rPr>
        <w:t>2020</w:t>
      </w:r>
      <w:r>
        <w:rPr>
          <w:rFonts w:hint="eastAsia" w:cs="宋体"/>
          <w:b/>
          <w:bCs/>
          <w:sz w:val="44"/>
          <w:szCs w:val="44"/>
        </w:rPr>
        <w:t>年部门整体支出绩效自评报告</w:t>
      </w:r>
    </w:p>
    <w:p>
      <w:pPr>
        <w:rPr>
          <w:rFonts w:cs="Times New Roman"/>
          <w:sz w:val="44"/>
          <w:szCs w:val="44"/>
        </w:rPr>
      </w:pPr>
    </w:p>
    <w:p>
      <w:pPr>
        <w:ind w:firstLine="480" w:firstLineChars="150"/>
        <w:rPr>
          <w:rFonts w:ascii="宋体" w:cs="Times New Roman"/>
          <w:sz w:val="32"/>
          <w:szCs w:val="32"/>
        </w:rPr>
      </w:pPr>
      <w:r>
        <w:rPr>
          <w:rFonts w:hint="eastAsia" w:ascii="宋体" w:hAnsi="宋体" w:cs="宋体"/>
          <w:sz w:val="32"/>
          <w:szCs w:val="32"/>
        </w:rPr>
        <w:t>为进一步规范预算绩效目标管理，强化支出责任，建立科学、合理的财政支出绩效评价管理体系，提高本单位财政资金的使用效益，根据市财政局常财绩（2021）54号通知精神要求，运用较科学、合理的绩效评价指标、评价标准和评价方法，对本单位2020年度财政资金整体支出进行了认真自评，现将情况汇报如下：</w:t>
      </w:r>
    </w:p>
    <w:p>
      <w:pPr>
        <w:pStyle w:val="7"/>
        <w:numPr>
          <w:ilvl w:val="0"/>
          <w:numId w:val="1"/>
        </w:numPr>
        <w:ind w:firstLineChars="0"/>
        <w:rPr>
          <w:rFonts w:ascii="宋体" w:cs="Times New Roman"/>
          <w:sz w:val="32"/>
          <w:szCs w:val="32"/>
        </w:rPr>
      </w:pPr>
      <w:r>
        <w:rPr>
          <w:rFonts w:hint="eastAsia" w:ascii="宋体" w:hAnsi="宋体" w:cs="宋体"/>
          <w:sz w:val="32"/>
          <w:szCs w:val="32"/>
        </w:rPr>
        <w:t>基本情况</w:t>
      </w:r>
    </w:p>
    <w:p>
      <w:pPr>
        <w:pStyle w:val="7"/>
        <w:ind w:left="780" w:firstLine="0" w:firstLineChars="0"/>
        <w:rPr>
          <w:rFonts w:ascii="宋体" w:cs="Times New Roman"/>
          <w:sz w:val="32"/>
          <w:szCs w:val="32"/>
        </w:rPr>
      </w:pPr>
      <w:r>
        <w:rPr>
          <w:rFonts w:hint="eastAsia" w:ascii="宋体" w:hAnsi="宋体" w:cs="宋体"/>
          <w:sz w:val="32"/>
          <w:szCs w:val="32"/>
        </w:rPr>
        <w:t>（一）部门职责</w:t>
      </w:r>
    </w:p>
    <w:p>
      <w:pPr>
        <w:ind w:firstLine="640" w:firstLineChars="200"/>
        <w:rPr>
          <w:rFonts w:ascii="宋体" w:hAnsi="宋体"/>
          <w:sz w:val="32"/>
          <w:szCs w:val="32"/>
        </w:rPr>
      </w:pPr>
      <w:r>
        <w:rPr>
          <w:rFonts w:hint="eastAsia" w:ascii="宋体" w:hAnsi="宋体"/>
          <w:sz w:val="32"/>
          <w:szCs w:val="32"/>
        </w:rPr>
        <w:t>1、宣传法律政策，促进村民自治。贯彻执行法律法规，落实党和国家的方针、政策，坚持依法行政，推进乡镇民主政治建设，加强基层党组织建设。</w:t>
      </w:r>
    </w:p>
    <w:p>
      <w:pPr>
        <w:ind w:firstLine="640" w:firstLineChars="200"/>
        <w:rPr>
          <w:rFonts w:ascii="宋体" w:hAnsi="宋体"/>
          <w:sz w:val="32"/>
          <w:szCs w:val="32"/>
        </w:rPr>
      </w:pPr>
      <w:r>
        <w:rPr>
          <w:rFonts w:hint="eastAsia" w:ascii="宋体" w:hAnsi="宋体"/>
          <w:sz w:val="32"/>
          <w:szCs w:val="32"/>
        </w:rPr>
        <w:t>2、发展农村经济，增加农民收入。组织指导农业和农村经济结构调整，加强农业综合生产能力建设；健全农业社会化服务体系，完善农业支持保护体系，推进农业现代化；保护农民兴办各种经济组织，组织引导农村富余劳动力向非农产业和城镇转移，增加农民收入，不断提高人民生活水平。</w:t>
      </w:r>
    </w:p>
    <w:p>
      <w:pPr>
        <w:pStyle w:val="4"/>
        <w:widowControl/>
        <w:spacing w:beforeAutospacing="0" w:afterAutospacing="0" w:line="360" w:lineRule="auto"/>
        <w:ind w:firstLine="640" w:firstLineChars="200"/>
        <w:rPr>
          <w:rFonts w:ascii="宋体" w:hAnsi="宋体" w:eastAsia="宋体"/>
          <w:sz w:val="32"/>
          <w:szCs w:val="32"/>
        </w:rPr>
      </w:pPr>
      <w:r>
        <w:rPr>
          <w:rFonts w:hint="eastAsia" w:ascii="宋体" w:hAnsi="宋体" w:eastAsia="宋体"/>
          <w:sz w:val="32"/>
          <w:szCs w:val="32"/>
        </w:rPr>
        <w:t>3、加强社会管理，创造良好环境。规范农村集体经济管理，推进政务、村务公开；抓好人口和计划生育工作，保障妇女儿童合法权益；加强安全生产和公共安全，组织抢险救灾、优抚救助，及时上报和处置重大社情、疫情、险情，保护人民群众的生命财产安全。</w:t>
      </w:r>
    </w:p>
    <w:p>
      <w:pPr>
        <w:ind w:firstLine="640" w:firstLineChars="200"/>
        <w:rPr>
          <w:rFonts w:ascii="宋体" w:hAnsi="宋体"/>
          <w:sz w:val="32"/>
          <w:szCs w:val="32"/>
        </w:rPr>
      </w:pPr>
      <w:r>
        <w:rPr>
          <w:rFonts w:hint="eastAsia" w:ascii="宋体" w:hAnsi="宋体"/>
          <w:sz w:val="32"/>
          <w:szCs w:val="32"/>
        </w:rPr>
        <w:t>4、发展公益事业，提供公共服务。搞好乡村公共设施建设和小城镇建设，开展社会保障服务；发展科教文卫事业，提供经济发展和社会进步信息服务；促进精神文明建设。</w:t>
      </w:r>
    </w:p>
    <w:p>
      <w:pPr>
        <w:ind w:firstLine="640" w:firstLineChars="200"/>
        <w:rPr>
          <w:rFonts w:ascii="宋体" w:hAnsi="宋体"/>
          <w:sz w:val="32"/>
          <w:szCs w:val="32"/>
        </w:rPr>
      </w:pPr>
      <w:r>
        <w:rPr>
          <w:rFonts w:hint="eastAsia" w:ascii="宋体" w:hAnsi="宋体"/>
          <w:sz w:val="32"/>
          <w:szCs w:val="32"/>
        </w:rPr>
        <w:t>5、加强综合治理，维护社会稳定。调解民事纠纷，化解社会矛盾，接待上访群众，处理群体性突发事件，保证社会公正，维护社会秩序和社会稳定。</w:t>
      </w:r>
    </w:p>
    <w:p>
      <w:pPr>
        <w:ind w:firstLine="640" w:firstLineChars="200"/>
        <w:rPr>
          <w:rFonts w:ascii="宋体" w:hAnsi="宋体"/>
          <w:sz w:val="32"/>
          <w:szCs w:val="32"/>
        </w:rPr>
      </w:pPr>
      <w:r>
        <w:rPr>
          <w:rFonts w:hint="eastAsia" w:ascii="宋体" w:hAnsi="宋体"/>
          <w:sz w:val="32"/>
          <w:szCs w:val="32"/>
        </w:rPr>
        <w:t>6、贯彻执行相关法律法规，落实党和国家的方针、政策，承担上级交办的其他任务。</w:t>
      </w:r>
    </w:p>
    <w:p>
      <w:pPr>
        <w:widowControl/>
        <w:spacing w:line="600" w:lineRule="exact"/>
        <w:jc w:val="left"/>
        <w:rPr>
          <w:rFonts w:ascii="宋体" w:cs="Times New Roman"/>
          <w:color w:val="000000"/>
          <w:kern w:val="0"/>
          <w:sz w:val="32"/>
          <w:szCs w:val="32"/>
        </w:rPr>
      </w:pPr>
      <w:r>
        <w:rPr>
          <w:rFonts w:ascii="宋体" w:hAnsi="宋体" w:cs="宋体"/>
          <w:color w:val="000000"/>
          <w:kern w:val="0"/>
          <w:sz w:val="32"/>
          <w:szCs w:val="32"/>
        </w:rPr>
        <w:t xml:space="preserve">   </w:t>
      </w:r>
      <w:r>
        <w:rPr>
          <w:rFonts w:hint="eastAsia" w:ascii="宋体" w:hAnsi="宋体" w:cs="宋体"/>
          <w:color w:val="000000"/>
          <w:kern w:val="0"/>
          <w:sz w:val="32"/>
          <w:szCs w:val="32"/>
        </w:rPr>
        <w:t>（二）部门单位构成</w:t>
      </w:r>
    </w:p>
    <w:p>
      <w:pPr>
        <w:pStyle w:val="4"/>
        <w:widowControl/>
        <w:spacing w:beforeAutospacing="0" w:afterAutospacing="0" w:line="360" w:lineRule="auto"/>
        <w:ind w:firstLine="640" w:firstLineChars="200"/>
        <w:rPr>
          <w:rFonts w:ascii="宋体" w:hAnsi="宋体" w:eastAsia="宋体" w:cs="宋体"/>
          <w:sz w:val="32"/>
          <w:szCs w:val="32"/>
        </w:rPr>
      </w:pPr>
      <w:r>
        <w:rPr>
          <w:rFonts w:hint="eastAsia" w:ascii="宋体" w:hAnsi="宋体" w:eastAsia="宋体" w:cs="宋体"/>
          <w:sz w:val="32"/>
          <w:szCs w:val="32"/>
        </w:rPr>
        <w:t>根据编委核定本单位内设办公室6个，所属事业单位4个。其中：内设办公室分别是</w:t>
      </w:r>
      <w:r>
        <w:rPr>
          <w:rFonts w:hint="eastAsia" w:ascii="宋体" w:hAnsi="宋体" w:eastAsia="宋体"/>
          <w:sz w:val="32"/>
          <w:szCs w:val="32"/>
        </w:rPr>
        <w:t>党政综合办公室（统计管理办公室）</w:t>
      </w:r>
      <w:r>
        <w:rPr>
          <w:rFonts w:hint="eastAsia" w:ascii="宋体" w:hAnsi="宋体" w:eastAsia="宋体" w:cs="宋体"/>
          <w:sz w:val="32"/>
          <w:szCs w:val="32"/>
        </w:rPr>
        <w:t>、</w:t>
      </w:r>
      <w:r>
        <w:rPr>
          <w:rFonts w:hint="eastAsia" w:ascii="宋体" w:hAnsi="宋体" w:eastAsia="宋体"/>
          <w:sz w:val="32"/>
          <w:szCs w:val="32"/>
        </w:rPr>
        <w:t>经济发展办公室(农业农村和扶贫工作办公室)、社会事务办公室、自然资源和生态环境办公室(村镇建设管理办公室)、社会治安综合治理和应急管理办公室、基层党建工作办公室</w:t>
      </w:r>
      <w:r>
        <w:rPr>
          <w:rFonts w:hint="eastAsia" w:ascii="宋体" w:hAnsi="宋体" w:eastAsia="宋体" w:cs="宋体"/>
          <w:sz w:val="32"/>
          <w:szCs w:val="32"/>
        </w:rPr>
        <w:t>,所属事业单位分别是</w:t>
      </w:r>
      <w:r>
        <w:rPr>
          <w:rFonts w:hint="eastAsia" w:ascii="宋体" w:hAnsi="宋体" w:eastAsia="宋体"/>
          <w:bCs/>
          <w:sz w:val="32"/>
          <w:szCs w:val="32"/>
        </w:rPr>
        <w:t>综合行政执法大队、社会事业综合服务中心(文化综合服务站、退役军人服务站)、农业综合服务中心、政务服务中心。</w:t>
      </w:r>
    </w:p>
    <w:p>
      <w:pPr>
        <w:pStyle w:val="4"/>
        <w:widowControl/>
        <w:spacing w:beforeAutospacing="0" w:afterAutospacing="0" w:line="360" w:lineRule="auto"/>
        <w:ind w:firstLine="600" w:firstLineChars="200"/>
        <w:rPr>
          <w:rFonts w:ascii="宋体" w:hAnsi="宋体" w:eastAsia="宋体" w:cs="宋体"/>
          <w:sz w:val="28"/>
          <w:szCs w:val="28"/>
        </w:rPr>
      </w:pPr>
      <w:r>
        <w:rPr>
          <w:rFonts w:hint="eastAsia" w:ascii="宋体" w:hAnsi="宋体" w:cs="宋体"/>
          <w:color w:val="000000"/>
          <w:sz w:val="30"/>
          <w:szCs w:val="30"/>
        </w:rPr>
        <w:t>镇机关行政编制33名，机关事业编制54名，年末在职人员87人</w:t>
      </w:r>
      <w:r>
        <w:rPr>
          <w:rFonts w:ascii="宋体" w:hAnsi="宋体" w:cs="宋体"/>
          <w:color w:val="000000"/>
          <w:sz w:val="30"/>
          <w:szCs w:val="30"/>
        </w:rPr>
        <w:t>,</w:t>
      </w:r>
      <w:r>
        <w:rPr>
          <w:rFonts w:hint="eastAsia" w:ascii="宋体" w:hAnsi="宋体" w:cs="宋体"/>
          <w:color w:val="000000"/>
          <w:sz w:val="30"/>
          <w:szCs w:val="30"/>
        </w:rPr>
        <w:t>退休2</w:t>
      </w:r>
      <w:r>
        <w:rPr>
          <w:rFonts w:ascii="宋体" w:hAnsi="宋体" w:cs="宋体"/>
          <w:color w:val="000000"/>
          <w:sz w:val="30"/>
          <w:szCs w:val="30"/>
        </w:rPr>
        <w:t>6</w:t>
      </w:r>
      <w:r>
        <w:rPr>
          <w:rFonts w:hint="eastAsia" w:ascii="宋体" w:hAnsi="宋体" w:cs="宋体"/>
          <w:color w:val="000000"/>
          <w:sz w:val="30"/>
          <w:szCs w:val="30"/>
        </w:rPr>
        <w:t>人。</w:t>
      </w:r>
    </w:p>
    <w:p>
      <w:pPr>
        <w:ind w:firstLine="420"/>
        <w:rPr>
          <w:rFonts w:ascii="宋体" w:cs="Times New Roman"/>
          <w:sz w:val="32"/>
          <w:szCs w:val="32"/>
        </w:rPr>
      </w:pPr>
      <w:r>
        <w:rPr>
          <w:rFonts w:hint="eastAsia" w:ascii="宋体" w:hAnsi="宋体" w:cs="宋体"/>
          <w:sz w:val="32"/>
          <w:szCs w:val="32"/>
        </w:rPr>
        <w:t>（三）部门收支情况</w:t>
      </w:r>
    </w:p>
    <w:p>
      <w:pPr>
        <w:spacing w:before="240"/>
        <w:ind w:firstLine="420"/>
        <w:rPr>
          <w:rFonts w:ascii="宋体" w:hAnsi="宋体" w:cs="宋体"/>
          <w:sz w:val="32"/>
          <w:szCs w:val="32"/>
        </w:rPr>
      </w:pPr>
      <w:r>
        <w:rPr>
          <w:rFonts w:ascii="宋体" w:hAnsi="宋体" w:cs="宋体"/>
          <w:sz w:val="32"/>
          <w:szCs w:val="32"/>
        </w:rPr>
        <w:t xml:space="preserve"> </w:t>
      </w:r>
      <w:r>
        <w:rPr>
          <w:rFonts w:hint="eastAsia" w:ascii="宋体" w:hAnsi="宋体" w:cs="宋体"/>
          <w:sz w:val="32"/>
          <w:szCs w:val="32"/>
        </w:rPr>
        <w:t>本单位2020年度收入总计2735.82万元，上年结转47.15万元，其中财政拨款收入2366.62万元，政府性基金369.2万元，全年总支出2735.82万元（其中基本支出为693.27万元，项目支出2042.55万元。按经济分类分别为工资福利支出586.67万元，商品和服务支出323.51万元，对个人和家庭补助支出643.15万元，基本建设支出</w:t>
      </w:r>
      <w:r>
        <w:rPr>
          <w:rFonts w:ascii="宋体" w:cs="宋体"/>
          <w:sz w:val="32"/>
          <w:szCs w:val="32"/>
        </w:rPr>
        <w:t>0</w:t>
      </w:r>
      <w:r>
        <w:rPr>
          <w:rFonts w:hint="eastAsia" w:ascii="宋体" w:hAnsi="宋体" w:cs="宋体"/>
          <w:sz w:val="32"/>
          <w:szCs w:val="32"/>
        </w:rPr>
        <w:t>万元，其它资本性支出1182.49万元），全年收支平衡。</w:t>
      </w:r>
    </w:p>
    <w:p>
      <w:pPr>
        <w:spacing w:before="240"/>
        <w:ind w:firstLine="420"/>
        <w:rPr>
          <w:rFonts w:ascii="宋体" w:cs="Times New Roman"/>
          <w:sz w:val="32"/>
          <w:szCs w:val="32"/>
        </w:rPr>
      </w:pPr>
      <w:r>
        <w:rPr>
          <w:rFonts w:hint="eastAsia" w:ascii="宋体" w:hAnsi="宋体" w:cs="宋体"/>
          <w:sz w:val="32"/>
          <w:szCs w:val="32"/>
        </w:rPr>
        <w:t>二、部门绩效目标</w:t>
      </w:r>
    </w:p>
    <w:p>
      <w:pPr>
        <w:widowControl/>
        <w:shd w:val="clear" w:color="auto" w:fill="FFFFFF"/>
        <w:spacing w:line="560" w:lineRule="atLeast"/>
        <w:ind w:firstLine="480" w:firstLineChars="150"/>
        <w:jc w:val="left"/>
        <w:rPr>
          <w:rFonts w:ascii="宋体" w:cs="Times New Roman"/>
          <w:color w:val="000000"/>
          <w:kern w:val="0"/>
          <w:sz w:val="32"/>
          <w:szCs w:val="32"/>
        </w:rPr>
      </w:pPr>
      <w:r>
        <w:rPr>
          <w:rFonts w:hint="eastAsia" w:ascii="宋体" w:hAnsi="宋体" w:cs="宋体"/>
          <w:sz w:val="32"/>
          <w:szCs w:val="32"/>
        </w:rPr>
        <w:t>按照上级要求，我镇党政领导经集体研究，制定了2020年工作计划，对各项目建设、重点项目等，明确了绩效目标，主要体现在：</w:t>
      </w:r>
    </w:p>
    <w:p>
      <w:pPr>
        <w:ind w:firstLine="640" w:firstLineChars="200"/>
        <w:rPr>
          <w:rFonts w:ascii="宋体" w:cs="Times New Roman"/>
          <w:sz w:val="32"/>
          <w:szCs w:val="32"/>
        </w:rPr>
      </w:pPr>
      <w:r>
        <w:rPr>
          <w:rFonts w:ascii="宋体" w:hAnsi="宋体" w:cs="宋体"/>
          <w:sz w:val="32"/>
          <w:szCs w:val="32"/>
        </w:rPr>
        <w:t>1</w:t>
      </w:r>
      <w:r>
        <w:rPr>
          <w:rFonts w:hint="eastAsia" w:ascii="宋体" w:hAnsi="宋体" w:cs="宋体"/>
          <w:sz w:val="32"/>
          <w:szCs w:val="32"/>
        </w:rPr>
        <w:t>、烤烟生产工作。以烤烟生产“稳规模、提质量、增效益”为目标，全镇完成烟叶种植面积1339亩，完成烟叶3356担，总产值516.66万元，为市财政增加特产税93.43万元，市下拨镇专项经费50万元，主要用于育秧棚维修改造及育苗补贴3</w:t>
      </w:r>
      <w:r>
        <w:rPr>
          <w:rFonts w:ascii="宋体" w:hAnsi="宋体" w:cs="宋体"/>
          <w:sz w:val="32"/>
          <w:szCs w:val="32"/>
        </w:rPr>
        <w:t>.7</w:t>
      </w:r>
      <w:r>
        <w:rPr>
          <w:rFonts w:hint="eastAsia" w:ascii="宋体" w:hAnsi="宋体" w:cs="宋体"/>
          <w:sz w:val="32"/>
          <w:szCs w:val="32"/>
        </w:rPr>
        <w:t>万元，烤烟房维修资金3.6万元，技术员工资及办公经费考核奖等费用10.7万元，烟水工程维护费7万元，7个村烟叶分成等25万元。</w:t>
      </w:r>
      <w:r>
        <w:rPr>
          <w:rFonts w:ascii="宋体" w:hAnsi="宋体" w:cs="宋体"/>
          <w:sz w:val="32"/>
          <w:szCs w:val="32"/>
        </w:rPr>
        <w:t xml:space="preserve"> </w:t>
      </w:r>
      <w:r>
        <w:rPr>
          <w:rFonts w:hint="eastAsia" w:ascii="宋体" w:hAnsi="宋体" w:cs="宋体"/>
          <w:sz w:val="32"/>
          <w:szCs w:val="32"/>
        </w:rPr>
        <w:t>　　</w:t>
      </w:r>
    </w:p>
    <w:p>
      <w:pPr>
        <w:ind w:firstLine="320" w:firstLineChars="100"/>
        <w:rPr>
          <w:rFonts w:ascii="宋体" w:hAnsi="宋体"/>
          <w:sz w:val="32"/>
          <w:szCs w:val="32"/>
        </w:rPr>
      </w:pPr>
      <w:r>
        <w:rPr>
          <w:rFonts w:ascii="宋体" w:hAnsi="宋体" w:cs="宋体"/>
          <w:sz w:val="32"/>
          <w:szCs w:val="32"/>
        </w:rPr>
        <w:t>2</w:t>
      </w:r>
      <w:r>
        <w:rPr>
          <w:rFonts w:hint="eastAsia" w:ascii="宋体" w:hAnsi="宋体" w:cs="宋体"/>
          <w:sz w:val="32"/>
          <w:szCs w:val="32"/>
        </w:rPr>
        <w:t>、专项项目工作。一是洋泉小城镇建设项目已立项，棚户区200户改造计划全部签约，基础设施建设目前已开工，项目建成后，将有效改善回迁安置群众的住房条件；二是镇便民服务中心建设投入资金120万元、建筑面积为120平方米的主体工程现已投入使用，主要是将服务场所打造成集党务、政务、村务、商务和社会服务于一体、线上线下相结合的综合平台。三是洋泉污水处理厂和洋泉水厂建设已扩建征地完成，正在施工，我镇内外发力，整合资源，争取在2021年全面建成；四是水利建设：管网铺设工程基本上全部完成，全镇有23个村已通自来水，山塘水库现已全部进行了除险加固，渠道水毁工程已全部修复，完成镇区河道及渠道清渣清淤13000米；五是洋泉镇区域性中心敬老院建设主体工程已完成，</w:t>
      </w:r>
      <w:r>
        <w:rPr>
          <w:rFonts w:hint="eastAsia" w:ascii="宋体" w:hAnsi="宋体"/>
          <w:sz w:val="32"/>
          <w:szCs w:val="32"/>
        </w:rPr>
        <w:t>经过改建，五保老人生活环境更舒适，敬老院场地更加宽松，可以更多地将洋泉镇的五保老人纳入集中供养，让五保老人生活在社会的大家庭中感受到温暖，促进了全市养老产业发展具有重大意义。</w:t>
      </w:r>
    </w:p>
    <w:p>
      <w:pPr>
        <w:ind w:firstLine="640" w:firstLineChars="200"/>
        <w:rPr>
          <w:rFonts w:ascii="宋体" w:cs="Times New Roman"/>
          <w:sz w:val="32"/>
          <w:szCs w:val="32"/>
        </w:rPr>
      </w:pPr>
      <w:r>
        <w:rPr>
          <w:rFonts w:ascii="宋体" w:hAnsi="宋体" w:cs="宋体"/>
          <w:sz w:val="32"/>
          <w:szCs w:val="32"/>
        </w:rPr>
        <w:t>3</w:t>
      </w:r>
      <w:r>
        <w:rPr>
          <w:rFonts w:hint="eastAsia" w:ascii="宋体" w:hAnsi="宋体" w:cs="宋体"/>
          <w:sz w:val="32"/>
          <w:szCs w:val="32"/>
        </w:rPr>
        <w:t>、安全生产工作。牢固树立“安全第一，预防为主”的安全生产工作理念，切实抓好安全生产责任制和事故责任追究制的落实，安全生产“三年行动”共召开各类专题会议17次，发放各类资料2万余份，永久性宣传栏20块，政府干部进村入点开展安全隐患排查，全年开展道路交通大整治20次，开展校车安全大整治</w:t>
      </w:r>
      <w:r>
        <w:rPr>
          <w:rFonts w:ascii="宋体" w:hAnsi="宋体" w:cs="宋体"/>
          <w:sz w:val="32"/>
          <w:szCs w:val="32"/>
        </w:rPr>
        <w:t>4</w:t>
      </w:r>
      <w:r>
        <w:rPr>
          <w:rFonts w:hint="eastAsia" w:ascii="宋体" w:hAnsi="宋体" w:cs="宋体"/>
          <w:sz w:val="32"/>
          <w:szCs w:val="32"/>
        </w:rPr>
        <w:t>次，执法各类案件约30次，投入资金40多万元用于地质灾害防控防治和水土环境整治，全面建立河长制工作协调机制，启动污水处理，加大非法采矿整治，强化道路交通安全、烟花爆竹、危化物品等重点领域整治监控，重点做好地质灾害隐患、防洪防汛，以及森林防火、村组消防等防范工作，全年接火警9次，因处置及时并开设了森林防火带8.719KM，无火灾发生，有效遏制了各类安全事故的发生，2020年被评为衡阳市先进单位。</w:t>
      </w:r>
    </w:p>
    <w:p>
      <w:pPr>
        <w:ind w:firstLine="640" w:firstLineChars="200"/>
        <w:rPr>
          <w:rFonts w:ascii="宋体" w:hAnsi="宋体" w:cs="宋体"/>
          <w:kern w:val="0"/>
          <w:sz w:val="32"/>
          <w:szCs w:val="32"/>
        </w:rPr>
      </w:pPr>
      <w:r>
        <w:rPr>
          <w:rFonts w:hint="eastAsia" w:ascii="宋体" w:hAnsi="宋体" w:cs="宋体"/>
          <w:sz w:val="32"/>
          <w:szCs w:val="32"/>
        </w:rPr>
        <w:t>4、人居环境整治工作。根据年度工作方案，成立专门队伍，加强对集镇管理，全面开展环境卫生“脏、乱、差”大整治，镇投入资金建成垃圾中转站，重点抓好村庄污水排放和农村垃圾的“户分类、村收集、镇转运”处置模式，卫生状况变化明显转变，同时制作宣传牌和卫生评比栏，</w:t>
      </w:r>
      <w:r>
        <w:rPr>
          <w:rFonts w:hint="eastAsia" w:ascii="宋体" w:hAnsi="宋体" w:cs="宋体"/>
          <w:kern w:val="0"/>
          <w:sz w:val="32"/>
          <w:szCs w:val="32"/>
        </w:rPr>
        <w:t>设立月考评奖励资金，对各村实行统一考核、统一排名进行奖罚，引导群众珍惜环境、爱护环境，掌握垃圾分类处理知识。农村厕所革命按市要求投入150万元完成1029户改厕任务，为助推我市农村改厕工作进一步巩固和完善，逐步淘汰所有旱厕，引入水冲式厕所，实现粪污无害化处理，保证卫生环保，推动全镇环境改善，让更多群众了解改厕的意义和好处，引导更多人积极参与，培养文明健康的生活习惯。</w:t>
      </w:r>
    </w:p>
    <w:p>
      <w:pPr>
        <w:ind w:firstLine="640" w:firstLineChars="200"/>
        <w:rPr>
          <w:rFonts w:ascii="宋体" w:cs="Times New Roman"/>
          <w:sz w:val="32"/>
          <w:szCs w:val="32"/>
        </w:rPr>
      </w:pPr>
      <w:r>
        <w:rPr>
          <w:rFonts w:hint="eastAsia" w:ascii="宋体" w:hAnsi="宋体" w:cs="宋体"/>
          <w:sz w:val="32"/>
          <w:szCs w:val="32"/>
        </w:rPr>
        <w:t xml:space="preserve">5、社会管理综合治理。严格按照网格化管理的要求，做好矛盾纠纷排查。建立健全了镇、村（社区）、组、党员四级人民调解网络，建立完善了矛盾纠纷排查预警调解处置机制，形成了大调解格局。确保大事不出村，小事不出组。加强法律法规学习，开展禁毒宣传工作，形成“全民抵制毒品、参与禁毒斗争”的社会氛围，设立专门的信访维稳办，以创建“平安洋泉”为抓手，工作责任分解到人，工作任务细化到岗，及时化解各类矛盾纠纷，切实维护社会和谐稳定，今年全镇化解矛盾纠纷60起，其中处理高速矛盾纠纷16起，坚持“属地管理”和“谁主管、谁负责”的原则进行稳控，2020年，被评为衡阳市信访工作“三无”单位，社会大局平安稳定。 </w:t>
      </w:r>
    </w:p>
    <w:p>
      <w:pPr>
        <w:ind w:firstLine="420"/>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6、计划生育工作。积极落实新时期人口与计划生育政策，增强了依法行政、文明执法和依法服务观念，坚持改革创新，与时俱进，本着方便群众的原则，改进计生工作、机制和方法，管理服务水平逐年提升，2020年人口出生率达到千分之七点九四，落实国家奖励扶助对象524人，特扶保伤残对象29人，特扶死亡对象24人，独生子女保健费24人，共发放金额105.78万元。</w:t>
      </w:r>
    </w:p>
    <w:p>
      <w:pPr>
        <w:ind w:firstLine="420"/>
        <w:rPr>
          <w:rFonts w:ascii="宋体" w:hAnsi="宋体" w:cs="宋体"/>
          <w:sz w:val="32"/>
          <w:szCs w:val="32"/>
        </w:rPr>
      </w:pPr>
      <w:r>
        <w:rPr>
          <w:rFonts w:ascii="宋体" w:hAnsi="宋体" w:cs="宋体"/>
          <w:sz w:val="32"/>
          <w:szCs w:val="32"/>
        </w:rPr>
        <w:t xml:space="preserve"> </w:t>
      </w:r>
      <w:r>
        <w:rPr>
          <w:rFonts w:hint="eastAsia" w:ascii="宋体" w:hAnsi="宋体" w:cs="宋体"/>
          <w:sz w:val="32"/>
          <w:szCs w:val="32"/>
        </w:rPr>
        <w:t>7、脱贫攻坚工作圆满收官。全镇5个省贫困村在2018年全部实现脱贫摘帽，1508户4920名贫困人口在2020年实现全面脱贫。落实产业帮扶1512户，教育帮扶914人，兜底保障户57户131人，危房改造493户，完成小额信贷573户2752万元，资助贫困学生914人次，无失学辍学情况，2020年共发放扶贫惠民补贴资金669.1万余元，成立镇精准脱贫攻坚领导小组，实行驻村工作组、驻村干部、村支两委责任到户，帮扶措施落实到人，资金扶持到位，2020年，我镇省贫困村新瓦村代表省市以零问题通过国家第三方评估验收，获得上级的高度肯定。</w:t>
      </w:r>
    </w:p>
    <w:p>
      <w:pPr>
        <w:ind w:firstLine="640" w:firstLineChars="200"/>
        <w:jc w:val="left"/>
        <w:rPr>
          <w:rFonts w:cs="仿宋_GB2312" w:asciiTheme="minorEastAsia" w:hAnsiTheme="minorEastAsia" w:eastAsiaTheme="minorEastAsia"/>
          <w:sz w:val="32"/>
          <w:szCs w:val="32"/>
        </w:rPr>
      </w:pPr>
      <w:r>
        <w:rPr>
          <w:rFonts w:hint="eastAsia" w:ascii="宋体" w:hAnsi="宋体" w:cs="宋体"/>
          <w:sz w:val="32"/>
          <w:szCs w:val="32"/>
        </w:rPr>
        <w:t>8、农业生产和产业发展：2020年我镇坚持问题导向，立足区位优势，调优产业结构，培育富民产业，‘两叶两油’、养殖加工旅游的产业格局基本形成。烟叶、茶叶、油茶、油菜种植面积逐年递增，确保高质高产，取得了可喜成效，继续加大对粮食生产投入，杜绝抛荒，引进耕作新技术，加大土地流转力度，鼓励种粮大户发展双季稻种植，实行政府奖励加财政直接给予相应资金支持，全镇种植面积达60000亩以上，其中双季稻面积3000亩，总产量实现稳中有升，本年度</w:t>
      </w:r>
      <w:r>
        <w:rPr>
          <w:rFonts w:hint="eastAsia" w:cs="仿宋_GB2312" w:asciiTheme="minorEastAsia" w:hAnsiTheme="minorEastAsia" w:eastAsiaTheme="minorEastAsia"/>
          <w:sz w:val="32"/>
          <w:szCs w:val="32"/>
        </w:rPr>
        <w:t>共发放的粮食补贴资金涉及18535户，金额494.95万元；鼓励无公害蔬菜种植，加大流通，确保食品安全和农民利益。</w:t>
      </w:r>
    </w:p>
    <w:p>
      <w:pPr>
        <w:ind w:firstLine="320" w:firstLineChars="100"/>
        <w:rPr>
          <w:rFonts w:ascii="宋体" w:hAnsi="宋体" w:cs="宋体"/>
          <w:sz w:val="32"/>
          <w:szCs w:val="32"/>
        </w:rPr>
      </w:pPr>
      <w:r>
        <w:rPr>
          <w:rFonts w:ascii="宋体" w:hAnsi="宋体" w:cs="宋体"/>
          <w:sz w:val="32"/>
          <w:szCs w:val="32"/>
        </w:rPr>
        <w:t xml:space="preserve"> </w:t>
      </w:r>
      <w:r>
        <w:rPr>
          <w:rFonts w:hint="eastAsia" w:ascii="宋体" w:hAnsi="宋体" w:cs="宋体"/>
          <w:sz w:val="32"/>
          <w:szCs w:val="32"/>
        </w:rPr>
        <w:t>9、社会保障日趋完善。以基本养老、基本医疗、最底生活保障制度为重点的社会保障覆盖面明显扩大，全镇</w:t>
      </w:r>
      <w:r>
        <w:rPr>
          <w:rFonts w:ascii="宋体" w:hAnsi="宋体" w:cs="宋体"/>
          <w:sz w:val="32"/>
          <w:szCs w:val="32"/>
        </w:rPr>
        <w:t>60</w:t>
      </w:r>
      <w:r>
        <w:rPr>
          <w:rFonts w:hint="eastAsia" w:ascii="宋体" w:hAnsi="宋体" w:cs="宋体"/>
          <w:sz w:val="32"/>
          <w:szCs w:val="32"/>
        </w:rPr>
        <w:t>岁以下的参保人数18639人，参保金额达</w:t>
      </w:r>
      <w:r>
        <w:rPr>
          <w:rFonts w:ascii="宋体" w:hAnsi="宋体" w:cs="宋体"/>
          <w:sz w:val="32"/>
          <w:szCs w:val="32"/>
        </w:rPr>
        <w:t>2</w:t>
      </w:r>
      <w:r>
        <w:rPr>
          <w:rFonts w:hint="eastAsia" w:ascii="宋体" w:hAnsi="宋体" w:cs="宋体"/>
          <w:sz w:val="32"/>
          <w:szCs w:val="32"/>
        </w:rPr>
        <w:t>00万元，参保率70</w:t>
      </w:r>
      <w:r>
        <w:rPr>
          <w:rFonts w:ascii="宋体" w:hAnsi="宋体" w:cs="宋体"/>
          <w:sz w:val="32"/>
          <w:szCs w:val="32"/>
        </w:rPr>
        <w:t>%</w:t>
      </w:r>
      <w:r>
        <w:rPr>
          <w:rFonts w:hint="eastAsia" w:ascii="宋体" w:hAnsi="宋体" w:cs="宋体"/>
          <w:sz w:val="32"/>
          <w:szCs w:val="32"/>
        </w:rPr>
        <w:t>；完成城乡合作医疗参合人数50732人，参合率达85</w:t>
      </w:r>
      <w:r>
        <w:rPr>
          <w:rFonts w:ascii="宋体" w:hAnsi="宋体" w:cs="宋体"/>
          <w:sz w:val="32"/>
          <w:szCs w:val="32"/>
        </w:rPr>
        <w:t>%</w:t>
      </w:r>
      <w:r>
        <w:rPr>
          <w:rFonts w:hint="eastAsia" w:ascii="宋体" w:hAnsi="宋体" w:cs="宋体"/>
          <w:sz w:val="32"/>
          <w:szCs w:val="32"/>
        </w:rPr>
        <w:t>。</w:t>
      </w:r>
    </w:p>
    <w:p>
      <w:pPr>
        <w:ind w:firstLine="640" w:firstLineChars="200"/>
        <w:rPr>
          <w:rFonts w:ascii="宋体" w:cs="Times New Roman"/>
          <w:sz w:val="32"/>
          <w:szCs w:val="32"/>
        </w:rPr>
      </w:pPr>
      <w:r>
        <w:rPr>
          <w:rFonts w:hint="eastAsia" w:ascii="宋体" w:hAnsi="宋体" w:cs="宋体"/>
          <w:sz w:val="32"/>
          <w:szCs w:val="32"/>
        </w:rPr>
        <w:t>10、大力招商引资，支持规模企业发展，已成功争取11万伏变电站项目、燃气站项目和洋洲茶叶观光园项目立项，积极争取各项优惠政策，引导和支持企业进行产业提升，开拓市场和发展生产，以培养财政收入新的增长点，促进我镇财力可持续发展。</w:t>
      </w:r>
    </w:p>
    <w:p>
      <w:pPr>
        <w:ind w:firstLine="640" w:firstLineChars="200"/>
        <w:rPr>
          <w:rFonts w:ascii="宋体" w:cs="Times New Roman"/>
          <w:sz w:val="32"/>
          <w:szCs w:val="32"/>
        </w:rPr>
      </w:pPr>
      <w:r>
        <w:rPr>
          <w:rFonts w:hint="eastAsia" w:ascii="宋体" w:hAnsi="宋体" w:cs="宋体"/>
          <w:sz w:val="32"/>
          <w:szCs w:val="32"/>
        </w:rPr>
        <w:t>二、绩效评价工作情况</w:t>
      </w:r>
    </w:p>
    <w:p>
      <w:pPr>
        <w:ind w:firstLine="640" w:firstLineChars="200"/>
        <w:rPr>
          <w:rFonts w:ascii="宋体" w:cs="Times New Roman"/>
          <w:sz w:val="32"/>
          <w:szCs w:val="32"/>
        </w:rPr>
      </w:pPr>
      <w:r>
        <w:rPr>
          <w:rFonts w:ascii="宋体" w:hAnsi="宋体" w:cs="宋体"/>
          <w:sz w:val="32"/>
          <w:szCs w:val="32"/>
        </w:rPr>
        <w:t>1.</w:t>
      </w:r>
      <w:r>
        <w:rPr>
          <w:rFonts w:hint="eastAsia" w:ascii="宋体" w:hAnsi="宋体" w:cs="宋体"/>
          <w:sz w:val="32"/>
          <w:szCs w:val="32"/>
        </w:rPr>
        <w:t>绩效评价目的</w:t>
      </w:r>
    </w:p>
    <w:p>
      <w:pPr>
        <w:ind w:firstLine="640" w:firstLineChars="200"/>
        <w:rPr>
          <w:rFonts w:cs="Times New Roman" w:asciiTheme="minorEastAsia" w:hAnsiTheme="minorEastAsia" w:eastAsiaTheme="minorEastAsia"/>
          <w:sz w:val="32"/>
          <w:szCs w:val="32"/>
        </w:rPr>
      </w:pPr>
      <w:r>
        <w:rPr>
          <w:rFonts w:hint="eastAsia" w:cs="宋体" w:asciiTheme="minorEastAsia" w:hAnsiTheme="minorEastAsia" w:eastAsiaTheme="minorEastAsia"/>
          <w:sz w:val="32"/>
          <w:szCs w:val="32"/>
        </w:rPr>
        <w:t>本次自评的目的是了解本部门2020年度财政资金预算支出的绩效状况，总结经验、找准问题，为今后预算安排提供决策支持，进一步增强本部门支出管理的责任，优化支出结构，提升预算管理水平，保障更好地履行职责，提高公务服务质量和财政资金使用效益，促进当地经济健康发展。</w:t>
      </w:r>
    </w:p>
    <w:p>
      <w:pPr>
        <w:ind w:firstLine="640" w:firstLineChars="200"/>
        <w:rPr>
          <w:rFonts w:cs="Times New Roman" w:asciiTheme="minorEastAsia" w:hAnsiTheme="minorEastAsia" w:eastAsiaTheme="minorEastAsia"/>
          <w:sz w:val="32"/>
          <w:szCs w:val="32"/>
        </w:rPr>
      </w:pPr>
      <w:r>
        <w:rPr>
          <w:rFonts w:cs="宋体" w:asciiTheme="minorEastAsia" w:hAnsiTheme="minorEastAsia" w:eastAsiaTheme="minorEastAsia"/>
          <w:sz w:val="32"/>
          <w:szCs w:val="32"/>
        </w:rPr>
        <w:t>2</w:t>
      </w:r>
      <w:r>
        <w:rPr>
          <w:rFonts w:hint="eastAsia" w:cs="宋体" w:asciiTheme="minorEastAsia" w:hAnsiTheme="minorEastAsia" w:eastAsiaTheme="minorEastAsia"/>
          <w:sz w:val="32"/>
          <w:szCs w:val="32"/>
        </w:rPr>
        <w:t>、绩效评价实施过程</w:t>
      </w:r>
    </w:p>
    <w:p>
      <w:pPr>
        <w:spacing w:line="560" w:lineRule="atLeast"/>
        <w:ind w:firstLine="640" w:firstLineChars="200"/>
        <w:rPr>
          <w:rFonts w:ascii="宋体" w:hAnsi="宋体" w:cs="宋体"/>
          <w:sz w:val="32"/>
          <w:szCs w:val="32"/>
        </w:rPr>
      </w:pPr>
      <w:r>
        <w:rPr>
          <w:rFonts w:cs="宋体" w:asciiTheme="minorEastAsia" w:hAnsiTheme="minorEastAsia" w:eastAsiaTheme="minorEastAsia"/>
          <w:sz w:val="32"/>
          <w:szCs w:val="32"/>
        </w:rPr>
        <w:t xml:space="preserve"> </w:t>
      </w:r>
      <w:r>
        <w:rPr>
          <w:rFonts w:hint="eastAsia" w:cs="宋体" w:asciiTheme="minorEastAsia" w:hAnsiTheme="minorEastAsia" w:eastAsiaTheme="minorEastAsia"/>
          <w:sz w:val="32"/>
          <w:szCs w:val="32"/>
        </w:rPr>
        <w:t>根据绩效评价的要求，本单位制定了部门支出绩效评价的工作方案、评价指标，成立了绩效评价工作领导小组、绩效评价工作组，对照各实施项目内容逐条逐项</w:t>
      </w:r>
      <w:r>
        <w:rPr>
          <w:rFonts w:hint="eastAsia" w:ascii="宋体" w:hAnsi="宋体" w:cs="宋体"/>
          <w:sz w:val="32"/>
          <w:szCs w:val="32"/>
        </w:rPr>
        <w:t>进行综合分析、归纳汇总，根据评价材料结合各项评价指标进行分析评分，</w:t>
      </w:r>
      <w:r>
        <w:rPr>
          <w:rFonts w:hint="eastAsia" w:cs="宋体" w:asciiTheme="minorEastAsia" w:hAnsiTheme="minorEastAsia" w:eastAsiaTheme="minorEastAsia"/>
          <w:sz w:val="32"/>
          <w:szCs w:val="32"/>
        </w:rPr>
        <w:t>在自评过程发现问题查找原因，及时纠正偏差，为下一步工作夯实基础。</w:t>
      </w:r>
    </w:p>
    <w:p>
      <w:pPr>
        <w:ind w:firstLine="420"/>
        <w:rPr>
          <w:rFonts w:cs="Times New Roman" w:asciiTheme="minorEastAsia" w:hAnsiTheme="minorEastAsia" w:eastAsiaTheme="minorEastAsia"/>
          <w:sz w:val="32"/>
          <w:szCs w:val="32"/>
        </w:rPr>
      </w:pPr>
      <w:r>
        <w:rPr>
          <w:rFonts w:cs="宋体" w:asciiTheme="minorEastAsia" w:hAnsiTheme="minorEastAsia" w:eastAsiaTheme="minorEastAsia"/>
          <w:sz w:val="32"/>
          <w:szCs w:val="32"/>
        </w:rPr>
        <w:t xml:space="preserve"> </w:t>
      </w:r>
      <w:r>
        <w:rPr>
          <w:rFonts w:hint="eastAsia" w:cs="宋体" w:asciiTheme="minorEastAsia" w:hAnsiTheme="minorEastAsia" w:eastAsiaTheme="minorEastAsia"/>
          <w:sz w:val="32"/>
          <w:szCs w:val="32"/>
        </w:rPr>
        <w:t>三、评价结论及建议</w:t>
      </w:r>
    </w:p>
    <w:p>
      <w:pPr>
        <w:ind w:firstLine="739" w:firstLineChars="231"/>
        <w:rPr>
          <w:rFonts w:cs="Times New Roman" w:asciiTheme="minorEastAsia" w:hAnsiTheme="minorEastAsia" w:eastAsiaTheme="minorEastAsia"/>
          <w:sz w:val="32"/>
          <w:szCs w:val="32"/>
        </w:rPr>
      </w:pPr>
      <w:r>
        <w:rPr>
          <w:rFonts w:cs="宋体" w:asciiTheme="minorEastAsia" w:hAnsiTheme="minorEastAsia" w:eastAsiaTheme="minorEastAsia"/>
          <w:sz w:val="32"/>
          <w:szCs w:val="32"/>
        </w:rPr>
        <w:t>1</w:t>
      </w:r>
      <w:r>
        <w:rPr>
          <w:rFonts w:hint="eastAsia" w:cs="宋体" w:asciiTheme="minorEastAsia" w:hAnsiTheme="minorEastAsia" w:eastAsiaTheme="minorEastAsia"/>
          <w:sz w:val="32"/>
          <w:szCs w:val="32"/>
        </w:rPr>
        <w:t>、评价结论</w:t>
      </w:r>
    </w:p>
    <w:p>
      <w:pPr>
        <w:ind w:firstLine="42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2020年，我镇及时、准确、优质地完成预算编制；预算执行情况良好，资金的拨付有完整的审批过程和手续，符合部门预算批复的用途，支出大部分符合国家财经法规和财务管理制度规定以及有关专项资金管理办法规定，资金使用无截留、挤占、挪用、虚列支出等情况；资金管理制度较为完善，会计核算和账务处理规范，会计资料完整；项目开支依据和标准符合相关规定，实施过程中能够严格执行有关制度规定，按目标数量及质量按时完工，基本实现了项目设计功能，受益群体满意度高，各项支出实施达到预期目标，加强政府财力统筹，坚持民生优先、重点项目优先，较好地维护了全镇社会稳定，</w:t>
      </w:r>
      <w:r>
        <w:rPr>
          <w:rFonts w:cs="宋体" w:asciiTheme="minorEastAsia" w:hAnsiTheme="minorEastAsia" w:eastAsiaTheme="minorEastAsia"/>
          <w:sz w:val="32"/>
          <w:szCs w:val="32"/>
        </w:rPr>
        <w:t>圆满地完成了财政各项目标任务</w:t>
      </w:r>
      <w:r>
        <w:rPr>
          <w:rFonts w:hint="eastAsia" w:cs="宋体" w:asciiTheme="minorEastAsia" w:hAnsiTheme="minorEastAsia" w:eastAsiaTheme="minorEastAsia"/>
          <w:sz w:val="32"/>
          <w:szCs w:val="32"/>
        </w:rPr>
        <w:t>。</w:t>
      </w:r>
    </w:p>
    <w:p>
      <w:pPr>
        <w:ind w:firstLine="420"/>
        <w:rPr>
          <w:rFonts w:ascii="宋体" w:cs="Times New Roman"/>
          <w:sz w:val="32"/>
          <w:szCs w:val="32"/>
        </w:rPr>
      </w:pPr>
      <w:r>
        <w:rPr>
          <w:rFonts w:ascii="宋体" w:hAnsi="宋体" w:cs="宋体"/>
          <w:sz w:val="32"/>
          <w:szCs w:val="32"/>
        </w:rPr>
        <w:t xml:space="preserve"> 2</w:t>
      </w:r>
      <w:r>
        <w:rPr>
          <w:rFonts w:hint="eastAsia" w:ascii="宋体" w:hAnsi="宋体" w:cs="宋体"/>
          <w:sz w:val="32"/>
          <w:szCs w:val="32"/>
        </w:rPr>
        <w:t>、存在的问题及建议</w:t>
      </w:r>
    </w:p>
    <w:p>
      <w:pPr>
        <w:ind w:firstLine="420"/>
        <w:rPr>
          <w:rFonts w:ascii="宋体" w:hAnsi="宋体" w:cs="宋体"/>
          <w:sz w:val="32"/>
          <w:szCs w:val="32"/>
        </w:rPr>
      </w:pPr>
      <w:r>
        <w:rPr>
          <w:rFonts w:hint="eastAsia" w:ascii="宋体" w:hAnsi="宋体" w:cs="宋体"/>
          <w:sz w:val="32"/>
          <w:szCs w:val="32"/>
        </w:rPr>
        <w:t>通过自评我们清醒的认识到，财政运行还存在着一些不容忽视的问题，一是镇政府财政压力大，存在“事务多，财权少”现象；二是预算安排经费不足，日常公用经费导致与实际支出相差较多，执行有一定难度。建议一是要加强绩效评价管理业务学习，组织相关人员学习《预算法》等相关法规、制度，提高单位领导对全面预算管理的重视程度，增强财务人员的预算意识。二是定期做好预算执行分析，掌握预算执行进度，及时找出预算实际执行情况与预算目标之间存在的差距，为下一次科学、准确地编制部门预算积累经验。</w:t>
      </w:r>
    </w:p>
    <w:p>
      <w:pPr>
        <w:rPr>
          <w:rFonts w:ascii="宋体" w:hAnsi="宋体" w:cs="宋体"/>
          <w:sz w:val="32"/>
          <w:szCs w:val="32"/>
        </w:rPr>
      </w:pPr>
      <w:r>
        <w:rPr>
          <w:rFonts w:hint="eastAsia" w:ascii="宋体" w:hAnsi="宋体" w:cs="宋体"/>
          <w:sz w:val="32"/>
          <w:szCs w:val="32"/>
        </w:rPr>
        <w:t xml:space="preserve"> </w:t>
      </w:r>
    </w:p>
    <w:p>
      <w:pPr>
        <w:rPr>
          <w:rFonts w:ascii="宋体" w:hAnsi="宋体" w:cs="宋体"/>
          <w:sz w:val="32"/>
          <w:szCs w:val="32"/>
        </w:rPr>
      </w:pPr>
    </w:p>
    <w:p>
      <w:pPr>
        <w:rPr>
          <w:rFonts w:ascii="宋体" w:hAnsi="宋体" w:cs="宋体"/>
          <w:sz w:val="32"/>
          <w:szCs w:val="32"/>
        </w:rPr>
      </w:pPr>
    </w:p>
    <w:p>
      <w:pPr>
        <w:rPr>
          <w:rFonts w:cs="宋体" w:asciiTheme="minorEastAsia" w:hAnsiTheme="minorEastAsia" w:eastAsiaTheme="minorEastAsia"/>
          <w:sz w:val="32"/>
          <w:szCs w:val="32"/>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1A5A"/>
    <w:multiLevelType w:val="multilevel"/>
    <w:tmpl w:val="0EFC1A5A"/>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811B21"/>
    <w:rsid w:val="000112F1"/>
    <w:rsid w:val="00042A8A"/>
    <w:rsid w:val="0004605F"/>
    <w:rsid w:val="0006085A"/>
    <w:rsid w:val="0007600D"/>
    <w:rsid w:val="00084412"/>
    <w:rsid w:val="000C0ED2"/>
    <w:rsid w:val="000D12D2"/>
    <w:rsid w:val="000F4837"/>
    <w:rsid w:val="001074A0"/>
    <w:rsid w:val="00125317"/>
    <w:rsid w:val="00130083"/>
    <w:rsid w:val="00150EE3"/>
    <w:rsid w:val="001662D5"/>
    <w:rsid w:val="00171819"/>
    <w:rsid w:val="0018639E"/>
    <w:rsid w:val="00190E9D"/>
    <w:rsid w:val="001A33FC"/>
    <w:rsid w:val="001A392B"/>
    <w:rsid w:val="001B5330"/>
    <w:rsid w:val="001F32CF"/>
    <w:rsid w:val="00211ED1"/>
    <w:rsid w:val="002178A0"/>
    <w:rsid w:val="00217A6D"/>
    <w:rsid w:val="00233FB4"/>
    <w:rsid w:val="002444E6"/>
    <w:rsid w:val="00247075"/>
    <w:rsid w:val="002517F4"/>
    <w:rsid w:val="002737BB"/>
    <w:rsid w:val="00280B18"/>
    <w:rsid w:val="00286FD9"/>
    <w:rsid w:val="00292BF4"/>
    <w:rsid w:val="00295287"/>
    <w:rsid w:val="002B6285"/>
    <w:rsid w:val="002C2843"/>
    <w:rsid w:val="002C3EDA"/>
    <w:rsid w:val="002D2C3A"/>
    <w:rsid w:val="002D2C54"/>
    <w:rsid w:val="002D54AD"/>
    <w:rsid w:val="002D7F60"/>
    <w:rsid w:val="002F3951"/>
    <w:rsid w:val="002F40A2"/>
    <w:rsid w:val="0030455D"/>
    <w:rsid w:val="003145EF"/>
    <w:rsid w:val="00314B47"/>
    <w:rsid w:val="00332494"/>
    <w:rsid w:val="00361E3D"/>
    <w:rsid w:val="00383FB1"/>
    <w:rsid w:val="003924E2"/>
    <w:rsid w:val="003A1CF3"/>
    <w:rsid w:val="003A227E"/>
    <w:rsid w:val="00406B7F"/>
    <w:rsid w:val="00415DB8"/>
    <w:rsid w:val="004244EE"/>
    <w:rsid w:val="00425570"/>
    <w:rsid w:val="00434CF0"/>
    <w:rsid w:val="004554A9"/>
    <w:rsid w:val="004624D2"/>
    <w:rsid w:val="00464555"/>
    <w:rsid w:val="00470370"/>
    <w:rsid w:val="004763AD"/>
    <w:rsid w:val="00496350"/>
    <w:rsid w:val="004C42F2"/>
    <w:rsid w:val="004F064B"/>
    <w:rsid w:val="004F621F"/>
    <w:rsid w:val="00500478"/>
    <w:rsid w:val="0052466F"/>
    <w:rsid w:val="00545CE6"/>
    <w:rsid w:val="00567841"/>
    <w:rsid w:val="00572B21"/>
    <w:rsid w:val="0058235F"/>
    <w:rsid w:val="00590413"/>
    <w:rsid w:val="005928D7"/>
    <w:rsid w:val="005A2907"/>
    <w:rsid w:val="005A3BA6"/>
    <w:rsid w:val="005A6C22"/>
    <w:rsid w:val="005B28FE"/>
    <w:rsid w:val="005C7A12"/>
    <w:rsid w:val="005D28C2"/>
    <w:rsid w:val="005E3960"/>
    <w:rsid w:val="00603637"/>
    <w:rsid w:val="00603EB7"/>
    <w:rsid w:val="00604063"/>
    <w:rsid w:val="0062036F"/>
    <w:rsid w:val="00635814"/>
    <w:rsid w:val="00635A51"/>
    <w:rsid w:val="006400BF"/>
    <w:rsid w:val="00640B7C"/>
    <w:rsid w:val="00645B89"/>
    <w:rsid w:val="0066380C"/>
    <w:rsid w:val="00666DBD"/>
    <w:rsid w:val="00674225"/>
    <w:rsid w:val="00683BF0"/>
    <w:rsid w:val="006B0DAF"/>
    <w:rsid w:val="006C3A62"/>
    <w:rsid w:val="006C7C3D"/>
    <w:rsid w:val="006D7855"/>
    <w:rsid w:val="006E6BF7"/>
    <w:rsid w:val="006F59BE"/>
    <w:rsid w:val="00704E5F"/>
    <w:rsid w:val="00710923"/>
    <w:rsid w:val="0071482E"/>
    <w:rsid w:val="00731952"/>
    <w:rsid w:val="00740D2B"/>
    <w:rsid w:val="00756AEA"/>
    <w:rsid w:val="00765196"/>
    <w:rsid w:val="00771A3D"/>
    <w:rsid w:val="00774031"/>
    <w:rsid w:val="007C25DC"/>
    <w:rsid w:val="007C6A0C"/>
    <w:rsid w:val="007D2C7F"/>
    <w:rsid w:val="007F29D0"/>
    <w:rsid w:val="00803672"/>
    <w:rsid w:val="008049D3"/>
    <w:rsid w:val="00811B21"/>
    <w:rsid w:val="00811D97"/>
    <w:rsid w:val="00817404"/>
    <w:rsid w:val="0083001A"/>
    <w:rsid w:val="00870F1A"/>
    <w:rsid w:val="008750D7"/>
    <w:rsid w:val="00883626"/>
    <w:rsid w:val="008A3B2C"/>
    <w:rsid w:val="008A73FF"/>
    <w:rsid w:val="008C03E7"/>
    <w:rsid w:val="008C2A4A"/>
    <w:rsid w:val="008C31EE"/>
    <w:rsid w:val="008C7521"/>
    <w:rsid w:val="008D1E29"/>
    <w:rsid w:val="008D2E88"/>
    <w:rsid w:val="008D6E92"/>
    <w:rsid w:val="008E62F7"/>
    <w:rsid w:val="008F7348"/>
    <w:rsid w:val="00900D6F"/>
    <w:rsid w:val="00900FDF"/>
    <w:rsid w:val="00920128"/>
    <w:rsid w:val="00932B7C"/>
    <w:rsid w:val="00936616"/>
    <w:rsid w:val="00953D99"/>
    <w:rsid w:val="009542E4"/>
    <w:rsid w:val="00954ED3"/>
    <w:rsid w:val="00962E86"/>
    <w:rsid w:val="009929A1"/>
    <w:rsid w:val="009943E9"/>
    <w:rsid w:val="009977B9"/>
    <w:rsid w:val="009C046D"/>
    <w:rsid w:val="009C329E"/>
    <w:rsid w:val="009C7F56"/>
    <w:rsid w:val="009E2DF3"/>
    <w:rsid w:val="009E4AD8"/>
    <w:rsid w:val="009E6620"/>
    <w:rsid w:val="009E7473"/>
    <w:rsid w:val="009F30E3"/>
    <w:rsid w:val="00A0371A"/>
    <w:rsid w:val="00A1191B"/>
    <w:rsid w:val="00A34FFC"/>
    <w:rsid w:val="00A458AA"/>
    <w:rsid w:val="00A55D5A"/>
    <w:rsid w:val="00A71E5D"/>
    <w:rsid w:val="00A76124"/>
    <w:rsid w:val="00A772F8"/>
    <w:rsid w:val="00A923DF"/>
    <w:rsid w:val="00AA479E"/>
    <w:rsid w:val="00AB588D"/>
    <w:rsid w:val="00AC6D6A"/>
    <w:rsid w:val="00AE4B0B"/>
    <w:rsid w:val="00AE7EA1"/>
    <w:rsid w:val="00AF1D0B"/>
    <w:rsid w:val="00B01C15"/>
    <w:rsid w:val="00B02112"/>
    <w:rsid w:val="00B05AA5"/>
    <w:rsid w:val="00B12026"/>
    <w:rsid w:val="00B504C3"/>
    <w:rsid w:val="00B63A59"/>
    <w:rsid w:val="00B75031"/>
    <w:rsid w:val="00B81550"/>
    <w:rsid w:val="00B91E87"/>
    <w:rsid w:val="00B938BE"/>
    <w:rsid w:val="00B963EA"/>
    <w:rsid w:val="00BA03B0"/>
    <w:rsid w:val="00BA3165"/>
    <w:rsid w:val="00BD13CF"/>
    <w:rsid w:val="00BE1DEE"/>
    <w:rsid w:val="00BE77E8"/>
    <w:rsid w:val="00BF5EDF"/>
    <w:rsid w:val="00C313F0"/>
    <w:rsid w:val="00C40198"/>
    <w:rsid w:val="00C407BA"/>
    <w:rsid w:val="00C45D87"/>
    <w:rsid w:val="00C57812"/>
    <w:rsid w:val="00C72977"/>
    <w:rsid w:val="00C87F8F"/>
    <w:rsid w:val="00CA267F"/>
    <w:rsid w:val="00CA38B1"/>
    <w:rsid w:val="00CC368D"/>
    <w:rsid w:val="00CE3AE9"/>
    <w:rsid w:val="00D64212"/>
    <w:rsid w:val="00D659EB"/>
    <w:rsid w:val="00D70B7C"/>
    <w:rsid w:val="00DA0C11"/>
    <w:rsid w:val="00DA2BCA"/>
    <w:rsid w:val="00DB0B69"/>
    <w:rsid w:val="00DB442B"/>
    <w:rsid w:val="00DB5BBB"/>
    <w:rsid w:val="00DC11FF"/>
    <w:rsid w:val="00DC5EAE"/>
    <w:rsid w:val="00DE4967"/>
    <w:rsid w:val="00DF50B7"/>
    <w:rsid w:val="00DF5FC7"/>
    <w:rsid w:val="00E06D07"/>
    <w:rsid w:val="00E15204"/>
    <w:rsid w:val="00E25122"/>
    <w:rsid w:val="00E273D8"/>
    <w:rsid w:val="00E320E0"/>
    <w:rsid w:val="00E32BC7"/>
    <w:rsid w:val="00E344C6"/>
    <w:rsid w:val="00E54006"/>
    <w:rsid w:val="00E573CE"/>
    <w:rsid w:val="00E70B92"/>
    <w:rsid w:val="00EA3C8D"/>
    <w:rsid w:val="00EA473E"/>
    <w:rsid w:val="00EE114C"/>
    <w:rsid w:val="00EE2ECB"/>
    <w:rsid w:val="00F00F36"/>
    <w:rsid w:val="00F03C77"/>
    <w:rsid w:val="00F1177E"/>
    <w:rsid w:val="00F171DB"/>
    <w:rsid w:val="00F27BC5"/>
    <w:rsid w:val="00F3039D"/>
    <w:rsid w:val="00F30ED2"/>
    <w:rsid w:val="00F3123A"/>
    <w:rsid w:val="00F504B1"/>
    <w:rsid w:val="00F700FE"/>
    <w:rsid w:val="00F9339D"/>
    <w:rsid w:val="00F9780A"/>
    <w:rsid w:val="00FB01A5"/>
    <w:rsid w:val="00FC4FAC"/>
    <w:rsid w:val="00FD1CDB"/>
    <w:rsid w:val="00FD3AEE"/>
    <w:rsid w:val="00FD4BB1"/>
    <w:rsid w:val="7DC35F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asciiTheme="minorHAnsi" w:hAnsiTheme="minorHAnsi" w:eastAsiaTheme="minorEastAsia"/>
      <w:kern w:val="0"/>
      <w:sz w:val="24"/>
      <w:szCs w:val="24"/>
    </w:rPr>
  </w:style>
  <w:style w:type="paragraph" w:styleId="7">
    <w:name w:val="List Paragraph"/>
    <w:basedOn w:val="1"/>
    <w:qFormat/>
    <w:uiPriority w:val="99"/>
    <w:pPr>
      <w:ind w:firstLine="420" w:firstLineChars="200"/>
    </w:pPr>
  </w:style>
  <w:style w:type="character" w:customStyle="1" w:styleId="8">
    <w:name w:val="页眉 Char"/>
    <w:basedOn w:val="6"/>
    <w:link w:val="3"/>
    <w:semiHidden/>
    <w:locked/>
    <w:uiPriority w:val="99"/>
    <w:rPr>
      <w:sz w:val="18"/>
      <w:szCs w:val="18"/>
    </w:rPr>
  </w:style>
  <w:style w:type="character" w:customStyle="1" w:styleId="9">
    <w:name w:val="页脚 Char"/>
    <w:basedOn w:val="6"/>
    <w:link w:val="2"/>
    <w:semiHidden/>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4271</Words>
  <Characters>371</Characters>
  <Lines>3</Lines>
  <Paragraphs>9</Paragraphs>
  <TotalTime>30</TotalTime>
  <ScaleCrop>false</ScaleCrop>
  <LinksUpToDate>false</LinksUpToDate>
  <CharactersWithSpaces>4633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2021-10-20T05:47:00Z</dcterms:created>
  <dc:creator>Administrator</dc:creator>
  <cp:lastModifiedBy>Administrator</cp:lastModifiedBy>
  <cp:lastPrinted>2021-06-24T07:21:00Z</cp:lastPrinted>
  <dcterms:modified xsi:type="dcterms:W3CDTF">2022-08-31T12:54:34Z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