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重点建设项目事务中心</w:t>
      </w:r>
      <w:r>
        <w:rPr>
          <w:rFonts w:hint="eastAsia" w:ascii="宋体" w:hAnsi="宋体" w:eastAsia="宋体" w:cs="宋体"/>
          <w:b/>
          <w:bCs/>
          <w:color w:val="333333"/>
          <w:kern w:val="0"/>
          <w:sz w:val="36"/>
          <w:szCs w:val="36"/>
          <w:lang w:eastAsia="zh-CN"/>
        </w:rPr>
        <w:t>2021</w:t>
      </w:r>
      <w:r>
        <w:rPr>
          <w:rFonts w:hint="eastAsia" w:ascii="宋体" w:hAnsi="宋体" w:eastAsia="宋体" w:cs="宋体"/>
          <w:b/>
          <w:bCs/>
          <w:color w:val="333333"/>
          <w:kern w:val="0"/>
          <w:sz w:val="36"/>
          <w:szCs w:val="36"/>
        </w:rPr>
        <w:t>年度</w:t>
      </w:r>
    </w:p>
    <w:p>
      <w:pPr>
        <w:widowControl/>
        <w:shd w:val="clear" w:color="auto" w:fill="FFFFFF"/>
        <w:spacing w:line="480" w:lineRule="auto"/>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36"/>
          <w:szCs w:val="36"/>
        </w:rPr>
        <w:t>整体支出绩效自评报告</w:t>
      </w:r>
    </w:p>
    <w:p>
      <w:pPr>
        <w:widowControl/>
        <w:shd w:val="clear" w:color="auto" w:fill="FFFFFF"/>
        <w:spacing w:line="240" w:lineRule="exact"/>
        <w:ind w:firstLine="200" w:firstLineChars="200"/>
        <w:rPr>
          <w:rFonts w:hint="eastAsia" w:ascii="宋体" w:hAnsi="宋体" w:eastAsia="宋体" w:cs="宋体"/>
          <w:color w:val="333333"/>
          <w:kern w:val="0"/>
          <w:sz w:val="10"/>
          <w:szCs w:val="10"/>
        </w:rPr>
      </w:pP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根据《常宁市关于转发&lt;湖南省预算绩效目标管理办法&gt;的通知》（常财绩[</w:t>
      </w:r>
      <w:r>
        <w:rPr>
          <w:rFonts w:hint="eastAsia" w:ascii="宋体" w:hAnsi="宋体" w:eastAsia="宋体" w:cs="宋体"/>
          <w:color w:val="333333"/>
          <w:kern w:val="0"/>
          <w:sz w:val="32"/>
          <w:szCs w:val="32"/>
          <w:lang w:eastAsia="zh-CN"/>
        </w:rPr>
        <w:t>2021</w:t>
      </w:r>
      <w:r>
        <w:rPr>
          <w:rFonts w:hint="eastAsia" w:ascii="宋体" w:hAnsi="宋体" w:eastAsia="宋体" w:cs="宋体"/>
          <w:color w:val="333333"/>
          <w:kern w:val="0"/>
          <w:sz w:val="32"/>
          <w:szCs w:val="32"/>
        </w:rPr>
        <w:t>]57号）文件精神，我单位对2019年整体支出绩效进行了全面综合评价，现将有关情况报告如下：</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一、部门概况</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（一）部门基本情况</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重点建设项目事务中心（原重点工程建设管理办公室）在2017年12月20日经市编办批准成立，为常宁市政府直属正科级公益一类事业单位。主要负责重点建设项目前期推进、重点建设项目协调服务与事务性工作。根据职责，单位内设综合股、项目前期股、项目代建股、项目推进股4个机构。核定全额拨款事业编制12名，目前在编10人。</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w:t>
      </w:r>
      <w:r>
        <w:rPr>
          <w:rFonts w:hint="eastAsia" w:ascii="宋体" w:hAnsi="宋体" w:eastAsia="宋体" w:cs="宋体"/>
          <w:color w:val="333333"/>
          <w:kern w:val="0"/>
          <w:sz w:val="32"/>
          <w:szCs w:val="32"/>
          <w:lang w:eastAsia="zh-CN"/>
        </w:rPr>
        <w:t>2021</w:t>
      </w:r>
      <w:r>
        <w:rPr>
          <w:rFonts w:hint="eastAsia" w:ascii="宋体" w:hAnsi="宋体" w:eastAsia="宋体" w:cs="宋体"/>
          <w:color w:val="333333"/>
          <w:kern w:val="0"/>
          <w:sz w:val="32"/>
          <w:szCs w:val="32"/>
        </w:rPr>
        <w:t>年本部门整体支出规模与使用方向</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eastAsia="zh-CN"/>
        </w:rPr>
        <w:t>2021</w:t>
      </w:r>
      <w:r>
        <w:rPr>
          <w:rFonts w:hint="eastAsia" w:ascii="宋体" w:hAnsi="宋体" w:eastAsia="宋体" w:cs="宋体"/>
          <w:color w:val="333333"/>
          <w:kern w:val="0"/>
          <w:sz w:val="32"/>
          <w:szCs w:val="32"/>
        </w:rPr>
        <w:t>年全年总支出</w:t>
      </w:r>
      <w:r>
        <w:rPr>
          <w:rFonts w:hint="eastAsia" w:ascii="宋体" w:hAnsi="宋体" w:eastAsia="宋体" w:cs="宋体"/>
          <w:color w:val="333333"/>
          <w:kern w:val="0"/>
          <w:sz w:val="32"/>
          <w:szCs w:val="32"/>
          <w:lang w:val="en-US" w:eastAsia="zh-CN"/>
        </w:rPr>
        <w:t>139.25</w:t>
      </w:r>
      <w:r>
        <w:rPr>
          <w:rFonts w:hint="eastAsia" w:ascii="宋体" w:hAnsi="宋体" w:eastAsia="宋体" w:cs="宋体"/>
          <w:color w:val="333333"/>
          <w:kern w:val="0"/>
          <w:sz w:val="32"/>
          <w:szCs w:val="32"/>
        </w:rPr>
        <w:t>万元，使用方向和主要内容为基本支出</w:t>
      </w:r>
      <w:r>
        <w:rPr>
          <w:rFonts w:hint="eastAsia" w:ascii="宋体" w:hAnsi="宋体" w:eastAsia="宋体" w:cs="宋体"/>
          <w:color w:val="333333"/>
          <w:kern w:val="0"/>
          <w:sz w:val="32"/>
          <w:szCs w:val="32"/>
          <w:lang w:val="en-US" w:eastAsia="zh-CN"/>
        </w:rPr>
        <w:t>88.45</w:t>
      </w:r>
      <w:r>
        <w:rPr>
          <w:rFonts w:hint="eastAsia" w:ascii="宋体" w:hAnsi="宋体" w:eastAsia="宋体" w:cs="宋体"/>
          <w:color w:val="333333"/>
          <w:kern w:val="0"/>
          <w:sz w:val="32"/>
          <w:szCs w:val="32"/>
        </w:rPr>
        <w:t>万元，</w:t>
      </w:r>
      <w:r>
        <w:rPr>
          <w:rFonts w:hint="eastAsia" w:ascii="宋体" w:hAnsi="宋体" w:eastAsia="宋体" w:cs="宋体"/>
          <w:color w:val="000000"/>
          <w:kern w:val="0"/>
          <w:sz w:val="32"/>
          <w:szCs w:val="32"/>
          <w:lang w:val="en-US" w:eastAsia="zh-CN" w:bidi="ar-SA"/>
        </w:rPr>
        <w:t>占63.52%；项目支出50.79万元，占36.48%</w:t>
      </w:r>
      <w:r>
        <w:rPr>
          <w:rFonts w:hint="eastAsia" w:ascii="宋体" w:hAnsi="宋体" w:eastAsia="宋体" w:cs="宋体"/>
          <w:color w:val="333333"/>
          <w:kern w:val="0"/>
          <w:sz w:val="32"/>
          <w:szCs w:val="32"/>
        </w:rPr>
        <w:t>。</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二、部门整体支出自评情况</w:t>
      </w:r>
    </w:p>
    <w:p>
      <w:pPr>
        <w:widowControl/>
        <w:shd w:val="clear" w:color="auto" w:fill="FFFFFF"/>
        <w:spacing w:line="480" w:lineRule="auto"/>
        <w:ind w:firstLine="640" w:firstLineChars="200"/>
        <w:rPr>
          <w:rFonts w:hint="eastAsia" w:ascii="宋体" w:hAnsi="宋体" w:eastAsia="宋体" w:cs="宋体"/>
          <w:b/>
          <w:color w:val="333333"/>
          <w:kern w:val="0"/>
          <w:sz w:val="28"/>
          <w:szCs w:val="28"/>
        </w:rPr>
      </w:pPr>
      <w:r>
        <w:rPr>
          <w:rFonts w:hint="eastAsia" w:ascii="宋体" w:hAnsi="宋体" w:eastAsia="宋体" w:cs="宋体"/>
          <w:color w:val="333333"/>
          <w:kern w:val="0"/>
          <w:sz w:val="32"/>
          <w:szCs w:val="32"/>
        </w:rPr>
        <w:t>（</w:t>
      </w:r>
      <w:r>
        <w:rPr>
          <w:rFonts w:hint="eastAsia" w:ascii="宋体" w:hAnsi="宋体" w:eastAsia="宋体" w:cs="宋体"/>
          <w:b/>
          <w:color w:val="333333"/>
          <w:kern w:val="0"/>
          <w:sz w:val="28"/>
          <w:szCs w:val="28"/>
        </w:rPr>
        <w:t>一）预算配置</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重点建设项目事务中心为全额拨款事业单位，核定编制数12名，实有在编人员10名。</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p>
    <w:p>
      <w:pPr>
        <w:pStyle w:val="2"/>
        <w:tabs>
          <w:tab w:val="left" w:pos="420"/>
        </w:tabs>
        <w:spacing w:line="480" w:lineRule="auto"/>
        <w:ind w:firstLine="560" w:firstLineChars="200"/>
        <w:rPr>
          <w:rFonts w:hint="eastAsia" w:ascii="宋体" w:hAnsi="宋体" w:eastAsia="宋体" w:cs="宋体"/>
          <w:b/>
          <w:bCs/>
          <w:sz w:val="28"/>
          <w:szCs w:val="28"/>
        </w:rPr>
      </w:pPr>
      <w:r>
        <w:rPr>
          <w:rFonts w:hint="eastAsia" w:ascii="宋体" w:hAnsi="宋体" w:eastAsia="宋体" w:cs="宋体"/>
          <w:color w:val="333333"/>
          <w:sz w:val="28"/>
          <w:szCs w:val="28"/>
        </w:rPr>
        <w:t>（二）</w:t>
      </w:r>
      <w:r>
        <w:rPr>
          <w:rFonts w:hint="eastAsia" w:ascii="宋体" w:hAnsi="宋体" w:eastAsia="宋体" w:cs="宋体"/>
          <w:b/>
          <w:bCs/>
          <w:sz w:val="28"/>
          <w:szCs w:val="28"/>
        </w:rPr>
        <w:t>部门收支情况</w:t>
      </w:r>
    </w:p>
    <w:p>
      <w:pPr>
        <w:pStyle w:val="2"/>
        <w:tabs>
          <w:tab w:val="left" w:pos="420"/>
        </w:tabs>
        <w:spacing w:line="48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本单位</w:t>
      </w:r>
      <w:r>
        <w:rPr>
          <w:rFonts w:hint="eastAsia" w:cs="宋体"/>
          <w:sz w:val="32"/>
          <w:szCs w:val="32"/>
          <w:lang w:eastAsia="zh-CN"/>
        </w:rPr>
        <w:t>2021</w:t>
      </w:r>
      <w:r>
        <w:rPr>
          <w:rFonts w:hint="eastAsia" w:ascii="宋体" w:hAnsi="宋体" w:eastAsia="宋体" w:cs="宋体"/>
          <w:sz w:val="32"/>
          <w:szCs w:val="32"/>
        </w:rPr>
        <w:t>年度收入总计</w:t>
      </w:r>
      <w:r>
        <w:rPr>
          <w:rFonts w:hint="eastAsia" w:cs="宋体"/>
          <w:sz w:val="32"/>
          <w:szCs w:val="32"/>
          <w:lang w:val="en-US" w:eastAsia="zh-CN"/>
        </w:rPr>
        <w:t>139.25</w:t>
      </w:r>
      <w:r>
        <w:rPr>
          <w:rFonts w:hint="eastAsia" w:ascii="宋体" w:hAnsi="宋体" w:eastAsia="宋体" w:cs="宋体"/>
          <w:sz w:val="32"/>
          <w:szCs w:val="32"/>
        </w:rPr>
        <w:t>万元，其中财政拨款收入1</w:t>
      </w:r>
      <w:r>
        <w:rPr>
          <w:rFonts w:hint="eastAsia" w:cs="宋体"/>
          <w:sz w:val="32"/>
          <w:szCs w:val="32"/>
          <w:lang w:val="en-US" w:eastAsia="zh-CN"/>
        </w:rPr>
        <w:t>139.25</w:t>
      </w:r>
      <w:r>
        <w:rPr>
          <w:rFonts w:hint="eastAsia" w:ascii="宋体" w:hAnsi="宋体" w:eastAsia="宋体" w:cs="宋体"/>
          <w:sz w:val="32"/>
          <w:szCs w:val="32"/>
        </w:rPr>
        <w:t>万元</w:t>
      </w:r>
      <w:r>
        <w:rPr>
          <w:rFonts w:hint="eastAsia" w:cs="宋体"/>
          <w:sz w:val="32"/>
          <w:szCs w:val="32"/>
          <w:lang w:eastAsia="zh-CN"/>
        </w:rPr>
        <w:t>。</w:t>
      </w:r>
      <w:r>
        <w:rPr>
          <w:rFonts w:hint="eastAsia" w:ascii="宋体" w:hAnsi="宋体" w:eastAsia="宋体" w:cs="宋体"/>
          <w:sz w:val="32"/>
          <w:szCs w:val="32"/>
        </w:rPr>
        <w:t>全年总支出</w:t>
      </w:r>
      <w:r>
        <w:rPr>
          <w:rFonts w:hint="eastAsia" w:cs="宋体"/>
          <w:sz w:val="32"/>
          <w:szCs w:val="32"/>
          <w:lang w:val="en-US" w:eastAsia="zh-CN"/>
        </w:rPr>
        <w:t>139.25</w:t>
      </w:r>
      <w:r>
        <w:rPr>
          <w:rFonts w:hint="eastAsia" w:ascii="宋体" w:hAnsi="宋体" w:eastAsia="宋体" w:cs="宋体"/>
          <w:sz w:val="32"/>
          <w:szCs w:val="32"/>
        </w:rPr>
        <w:t>万元,（其中基本支出为</w:t>
      </w:r>
      <w:r>
        <w:rPr>
          <w:rFonts w:hint="eastAsia" w:ascii="宋体" w:hAnsi="宋体" w:eastAsia="宋体" w:cs="宋体"/>
          <w:color w:val="333333"/>
          <w:kern w:val="0"/>
          <w:sz w:val="32"/>
          <w:szCs w:val="32"/>
          <w:lang w:val="en-US" w:eastAsia="zh-CN"/>
        </w:rPr>
        <w:t>88.45</w:t>
      </w:r>
      <w:r>
        <w:rPr>
          <w:rFonts w:hint="eastAsia" w:ascii="宋体" w:hAnsi="宋体" w:eastAsia="宋体" w:cs="宋体"/>
          <w:sz w:val="32"/>
          <w:szCs w:val="32"/>
        </w:rPr>
        <w:t>万元，项目支出</w:t>
      </w:r>
      <w:r>
        <w:rPr>
          <w:rFonts w:hint="eastAsia" w:ascii="宋体" w:hAnsi="宋体" w:eastAsia="宋体" w:cs="宋体"/>
          <w:color w:val="333333"/>
          <w:kern w:val="0"/>
          <w:sz w:val="32"/>
          <w:szCs w:val="32"/>
          <w:lang w:val="en-US" w:eastAsia="zh-CN"/>
        </w:rPr>
        <w:t>50.79</w:t>
      </w:r>
      <w:r>
        <w:rPr>
          <w:rFonts w:hint="eastAsia" w:ascii="宋体" w:hAnsi="宋体" w:eastAsia="宋体" w:cs="宋体"/>
          <w:sz w:val="32"/>
          <w:szCs w:val="32"/>
        </w:rPr>
        <w:t>万元。其中工资福利支出</w:t>
      </w:r>
      <w:r>
        <w:rPr>
          <w:rFonts w:hint="eastAsia" w:cs="宋体"/>
          <w:sz w:val="32"/>
          <w:szCs w:val="32"/>
          <w:lang w:val="en-US" w:eastAsia="zh-CN"/>
        </w:rPr>
        <w:t>88.45</w:t>
      </w:r>
      <w:r>
        <w:rPr>
          <w:rFonts w:hint="eastAsia" w:ascii="宋体" w:hAnsi="宋体" w:eastAsia="宋体" w:cs="宋体"/>
          <w:sz w:val="32"/>
          <w:szCs w:val="32"/>
        </w:rPr>
        <w:t>万元，商品和服务支出</w:t>
      </w:r>
      <w:r>
        <w:rPr>
          <w:rFonts w:hint="eastAsia" w:cs="宋体"/>
          <w:sz w:val="32"/>
          <w:szCs w:val="32"/>
          <w:lang w:val="en-US" w:eastAsia="zh-CN"/>
        </w:rPr>
        <w:t>49.31</w:t>
      </w:r>
      <w:r>
        <w:rPr>
          <w:rFonts w:hint="eastAsia" w:ascii="宋体" w:hAnsi="宋体" w:eastAsia="宋体" w:cs="宋体"/>
          <w:sz w:val="32"/>
          <w:szCs w:val="32"/>
        </w:rPr>
        <w:t>万元,对个人和家庭的补助</w:t>
      </w:r>
      <w:r>
        <w:rPr>
          <w:rFonts w:hint="eastAsia" w:cs="宋体"/>
          <w:sz w:val="32"/>
          <w:szCs w:val="32"/>
          <w:lang w:val="en-US" w:eastAsia="zh-CN"/>
        </w:rPr>
        <w:t>0.2</w:t>
      </w:r>
      <w:r>
        <w:rPr>
          <w:rFonts w:hint="eastAsia" w:ascii="宋体" w:hAnsi="宋体" w:eastAsia="宋体" w:cs="宋体"/>
          <w:sz w:val="32"/>
          <w:szCs w:val="32"/>
        </w:rPr>
        <w:t>万元，资本性支出</w:t>
      </w:r>
      <w:r>
        <w:rPr>
          <w:rFonts w:hint="eastAsia" w:cs="宋体"/>
          <w:sz w:val="32"/>
          <w:szCs w:val="32"/>
          <w:lang w:val="en-US" w:eastAsia="zh-CN"/>
        </w:rPr>
        <w:t>1.28</w:t>
      </w:r>
      <w:r>
        <w:rPr>
          <w:rFonts w:hint="eastAsia" w:ascii="宋体" w:hAnsi="宋体" w:eastAsia="宋体" w:cs="宋体"/>
          <w:sz w:val="32"/>
          <w:szCs w:val="32"/>
        </w:rPr>
        <w:t>万元）。</w:t>
      </w:r>
    </w:p>
    <w:p>
      <w:pPr>
        <w:pStyle w:val="2"/>
        <w:tabs>
          <w:tab w:val="left" w:pos="420"/>
        </w:tabs>
        <w:spacing w:line="480" w:lineRule="auto"/>
        <w:ind w:firstLine="562" w:firstLineChars="200"/>
        <w:rPr>
          <w:rFonts w:hint="eastAsia" w:ascii="宋体" w:hAnsi="宋体" w:eastAsia="宋体" w:cs="宋体"/>
          <w:sz w:val="28"/>
          <w:szCs w:val="28"/>
        </w:rPr>
      </w:pPr>
      <w:r>
        <w:rPr>
          <w:rFonts w:hint="eastAsia" w:ascii="宋体" w:hAnsi="宋体" w:eastAsia="宋体" w:cs="宋体"/>
          <w:b/>
          <w:color w:val="333333"/>
          <w:sz w:val="28"/>
          <w:szCs w:val="28"/>
        </w:rPr>
        <w:t>（三）职责履行</w:t>
      </w:r>
      <w:bookmarkStart w:id="0" w:name="_GoBack"/>
      <w:bookmarkEnd w:id="0"/>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eastAsia="zh-CN"/>
        </w:rPr>
        <w:t>2021</w:t>
      </w:r>
      <w:r>
        <w:rPr>
          <w:rFonts w:hint="eastAsia" w:ascii="宋体" w:hAnsi="宋体" w:eastAsia="宋体" w:cs="宋体"/>
          <w:color w:val="333333"/>
          <w:kern w:val="0"/>
          <w:sz w:val="32"/>
          <w:szCs w:val="32"/>
        </w:rPr>
        <w:t>年，在市委、市政府的正确领导和市人大、市政协的监督支持下，在衡阳市重点办的精心指导以及全市各有关部门的大力支持与配合下。围绕“跻身全省十强”的宏伟目标，紧扣”产业主导，工业主打，统筹城乡，全面发展”工作主线，始终坚持把重点项目建设作为促进我市经济又好又快发展的重要突破口，立足自身产业优势和县域经济发展需求，扎实开展“产业项目建设年”活动，突出“抓推进、抓前期、抓协调、抓环境”四大重点，同时也在“抓学习、抓作风、抓党建、促发展”等方面下狠功夫，有效地推进了重点项目建设。</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三、存在的问题和建议</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（一）科学合理编制预算，严格执行预算</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（二）完善管理制度，进一步加强资产管理</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进一步贯彻落实中央“八项规定”和省、衡阳市以及常宁市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widowControl/>
        <w:shd w:val="clear" w:color="auto" w:fill="FFFFFF"/>
        <w:spacing w:line="480" w:lineRule="auto"/>
        <w:ind w:firstLine="480"/>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（三）强化学习培训，提高业务水平</w:t>
      </w:r>
    </w:p>
    <w:p>
      <w:pPr>
        <w:widowControl/>
        <w:shd w:val="clear" w:color="auto" w:fill="FFFFFF"/>
        <w:spacing w:line="480" w:lineRule="auto"/>
        <w:ind w:firstLine="640" w:firstLineChars="200"/>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加强《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rPr>
          <w:rFonts w:hint="eastAsia"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20421"/>
    <w:rsid w:val="04C2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2022-09-01T02:01:00Z</dcterms:created>
  <dc:creator>Administrator</dc:creator>
  <cp:lastModifiedBy>Administrator</cp:lastModifiedBy>
  <dcterms:modified xsi:type="dcterms:W3CDTF">2022-09-01T02:22:40Z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