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rPr>
          <w:rFonts w:asciiTheme="majorEastAsia" w:hAnsiTheme="majorEastAsia" w:eastAsiaTheme="majorEastAsia"/>
          <w:b/>
          <w:sz w:val="44"/>
          <w:szCs w:val="44"/>
        </w:rPr>
      </w:pPr>
      <w:r>
        <w:rPr>
          <w:rFonts w:hint="eastAsia" w:asciiTheme="majorEastAsia" w:hAnsiTheme="majorEastAsia" w:eastAsiaTheme="majorEastAsia"/>
          <w:b/>
          <w:sz w:val="44"/>
          <w:szCs w:val="44"/>
        </w:rPr>
        <w:t>常宁市大义山自然保护区管理局</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 xml:space="preserve">  2021年整体支出绩效评价报告</w:t>
      </w:r>
    </w:p>
    <w:p>
      <w:pPr>
        <w:shd w:val="solid" w:color="FFFFFF" w:fill="auto"/>
        <w:autoSpaceDN w:val="0"/>
        <w:ind w:firstLine="640" w:firstLineChars="200"/>
        <w:rPr>
          <w:rFonts w:asciiTheme="minorEastAsia" w:hAnsiTheme="minorEastAsia"/>
          <w:bCs/>
          <w:color w:val="383838"/>
          <w:sz w:val="32"/>
          <w:shd w:val="clear" w:color="auto" w:fill="FFFFFF"/>
        </w:rPr>
      </w:pPr>
    </w:p>
    <w:p>
      <w:pPr>
        <w:shd w:val="solid" w:color="FFFFFF" w:fill="auto"/>
        <w:autoSpaceDN w:val="0"/>
        <w:ind w:firstLine="640" w:firstLineChars="200"/>
        <w:rPr>
          <w:rFonts w:asciiTheme="minorEastAsia" w:hAnsiTheme="minorEastAsia"/>
          <w:bCs/>
          <w:color w:val="383838"/>
          <w:sz w:val="32"/>
          <w:shd w:val="clear" w:color="auto" w:fill="FFFFFF"/>
        </w:rPr>
      </w:pPr>
      <w:r>
        <w:rPr>
          <w:rFonts w:hint="eastAsia" w:asciiTheme="minorEastAsia" w:hAnsiTheme="minorEastAsia"/>
          <w:bCs/>
          <w:color w:val="383838"/>
          <w:sz w:val="32"/>
          <w:shd w:val="clear" w:color="auto" w:fill="FFFFFF"/>
        </w:rPr>
        <w:t>为了进一步规范财政资金管理，切实提高财政资金使用效益，根据市财政局《关于项目支出和部门整体支出绩效评价的通知》精神，现将常宁市大义山自然保护区管理局2021年度财政资金绩效评价工作有关情况报告如下：</w:t>
      </w:r>
    </w:p>
    <w:p>
      <w:pPr>
        <w:rPr>
          <w:rFonts w:asciiTheme="minorEastAsia" w:hAnsiTheme="minorEastAsia"/>
          <w:b/>
          <w:color w:val="666666"/>
          <w:sz w:val="32"/>
          <w:szCs w:val="32"/>
          <w:shd w:val="clear" w:color="auto" w:fill="FFFFFF"/>
        </w:rPr>
      </w:pPr>
      <w:r>
        <w:rPr>
          <w:rFonts w:hint="eastAsia" w:asciiTheme="minorEastAsia" w:hAnsiTheme="minorEastAsia"/>
          <w:b/>
          <w:color w:val="666666"/>
          <w:sz w:val="32"/>
          <w:szCs w:val="32"/>
          <w:shd w:val="clear" w:color="auto" w:fill="FFFFFF"/>
        </w:rPr>
        <w:t>一、常宁市大义山自然保护区管理局基本概况</w:t>
      </w:r>
    </w:p>
    <w:p>
      <w:pPr>
        <w:widowControl/>
        <w:shd w:val="clear" w:color="auto" w:fill="FFFFFF"/>
        <w:spacing w:line="384" w:lineRule="atLeast"/>
        <w:ind w:firstLine="643" w:firstLineChars="200"/>
        <w:jc w:val="left"/>
        <w:rPr>
          <w:rFonts w:asciiTheme="minorEastAsia" w:hAnsiTheme="minorEastAsia"/>
          <w:b/>
          <w:color w:val="666666"/>
          <w:sz w:val="32"/>
          <w:szCs w:val="32"/>
          <w:shd w:val="clear" w:color="auto" w:fill="FFFFFF"/>
        </w:rPr>
      </w:pPr>
      <w:r>
        <w:rPr>
          <w:rFonts w:hint="eastAsia" w:asciiTheme="minorEastAsia" w:hAnsiTheme="minorEastAsia"/>
          <w:b/>
          <w:color w:val="666666"/>
          <w:sz w:val="32"/>
          <w:szCs w:val="32"/>
          <w:shd w:val="clear" w:color="auto" w:fill="FFFFFF"/>
        </w:rPr>
        <w:t>主要职责：</w:t>
      </w:r>
    </w:p>
    <w:p>
      <w:pPr>
        <w:widowControl/>
        <w:shd w:val="clear" w:color="auto" w:fill="FFFFFF"/>
        <w:spacing w:line="384" w:lineRule="atLeast"/>
        <w:ind w:firstLine="480" w:firstLineChars="150"/>
        <w:jc w:val="left"/>
        <w:rPr>
          <w:rFonts w:ascii="Arial" w:hAnsi="Arial" w:cs="Arial"/>
          <w:color w:val="333333"/>
          <w:kern w:val="0"/>
          <w:sz w:val="32"/>
          <w:szCs w:val="32"/>
        </w:rPr>
      </w:pPr>
      <w:r>
        <w:rPr>
          <w:rFonts w:hint="eastAsia" w:ascii="宋体" w:hAnsi="宋体" w:cs="仿宋"/>
          <w:bCs/>
          <w:sz w:val="32"/>
          <w:szCs w:val="32"/>
        </w:rPr>
        <w:t>（一）</w:t>
      </w:r>
      <w:r>
        <w:rPr>
          <w:rFonts w:hint="eastAsia" w:ascii="Arial" w:hAnsi="Arial" w:cs="Arial"/>
          <w:color w:val="333333"/>
          <w:kern w:val="0"/>
          <w:sz w:val="32"/>
          <w:szCs w:val="32"/>
        </w:rPr>
        <w:t>宣传贯彻执行国 家、省有关林业、自然保护区的管理法律、法规和方针政策；</w:t>
      </w:r>
    </w:p>
    <w:p>
      <w:pPr>
        <w:widowControl/>
        <w:adjustRightInd w:val="0"/>
        <w:snapToGrid w:val="0"/>
        <w:spacing w:line="560" w:lineRule="exact"/>
        <w:ind w:firstLine="480" w:firstLineChars="150"/>
        <w:jc w:val="left"/>
        <w:rPr>
          <w:rFonts w:ascii="宋体" w:hAnsi="宋体" w:cs="仿宋"/>
          <w:bCs/>
          <w:sz w:val="32"/>
          <w:szCs w:val="32"/>
        </w:rPr>
      </w:pPr>
      <w:r>
        <w:rPr>
          <w:rFonts w:hint="eastAsia" w:ascii="宋体" w:hAnsi="宋体" w:cs="仿宋"/>
          <w:bCs/>
          <w:sz w:val="32"/>
          <w:szCs w:val="32"/>
        </w:rPr>
        <w:t>（二）</w:t>
      </w:r>
      <w:r>
        <w:rPr>
          <w:rFonts w:hint="eastAsia" w:ascii="Arial" w:hAnsi="Arial" w:cs="Arial"/>
          <w:color w:val="333333"/>
          <w:kern w:val="0"/>
          <w:sz w:val="32"/>
          <w:szCs w:val="32"/>
        </w:rPr>
        <w:t>负责保护区的综合管理工作；</w:t>
      </w:r>
    </w:p>
    <w:p>
      <w:pPr>
        <w:widowControl/>
        <w:shd w:val="clear" w:color="auto" w:fill="FFFFFF"/>
        <w:spacing w:line="384" w:lineRule="atLeast"/>
        <w:ind w:firstLine="480" w:firstLineChars="150"/>
        <w:jc w:val="left"/>
        <w:rPr>
          <w:rFonts w:ascii="Arial" w:hAnsi="Arial" w:cs="Arial"/>
          <w:color w:val="333333"/>
          <w:kern w:val="0"/>
          <w:sz w:val="32"/>
          <w:szCs w:val="32"/>
        </w:rPr>
      </w:pPr>
      <w:r>
        <w:rPr>
          <w:rFonts w:hint="eastAsia" w:ascii="宋体" w:hAnsi="宋体" w:cs="仿宋"/>
          <w:bCs/>
          <w:sz w:val="32"/>
          <w:szCs w:val="32"/>
        </w:rPr>
        <w:t>（三）</w:t>
      </w:r>
      <w:r>
        <w:rPr>
          <w:rFonts w:hint="eastAsia" w:ascii="Arial" w:hAnsi="Arial" w:cs="Arial"/>
          <w:color w:val="333333"/>
          <w:kern w:val="0"/>
          <w:sz w:val="32"/>
          <w:szCs w:val="32"/>
        </w:rPr>
        <w:t>负责制定关实施大义山自然保护区的建设保护规划；负责保护森林资源和生物多样性；负责普及生态文化知识；</w:t>
      </w:r>
    </w:p>
    <w:p>
      <w:pPr>
        <w:widowControl/>
        <w:shd w:val="clear" w:color="auto" w:fill="FFFFFF"/>
        <w:spacing w:line="384" w:lineRule="atLeast"/>
        <w:ind w:firstLine="480" w:firstLineChars="150"/>
        <w:jc w:val="left"/>
        <w:rPr>
          <w:rFonts w:ascii="Arial" w:hAnsi="Arial" w:cs="Arial"/>
          <w:color w:val="333333"/>
          <w:kern w:val="0"/>
          <w:sz w:val="32"/>
          <w:szCs w:val="32"/>
        </w:rPr>
      </w:pPr>
      <w:r>
        <w:rPr>
          <w:rFonts w:hint="eastAsia" w:ascii="Arial" w:hAnsi="Arial" w:cs="Arial"/>
          <w:color w:val="333333"/>
          <w:kern w:val="0"/>
          <w:sz w:val="32"/>
          <w:szCs w:val="32"/>
        </w:rPr>
        <w:t>（四）负责组织野生动植物保护管理，组织自然资源的调查，并做好监测、保护、救护和科研等工作；</w:t>
      </w:r>
    </w:p>
    <w:p>
      <w:pPr>
        <w:widowControl/>
        <w:shd w:val="clear" w:color="auto" w:fill="FFFFFF"/>
        <w:spacing w:line="384" w:lineRule="atLeast"/>
        <w:ind w:firstLine="480" w:firstLineChars="150"/>
        <w:jc w:val="left"/>
        <w:rPr>
          <w:rFonts w:ascii="Arial" w:hAnsi="Arial" w:cs="Arial"/>
          <w:color w:val="333333"/>
          <w:kern w:val="0"/>
          <w:sz w:val="32"/>
          <w:szCs w:val="32"/>
        </w:rPr>
      </w:pPr>
      <w:r>
        <w:rPr>
          <w:rFonts w:hint="eastAsia" w:ascii="Arial" w:hAnsi="Arial" w:cs="Arial"/>
          <w:color w:val="333333"/>
          <w:kern w:val="0"/>
          <w:sz w:val="32"/>
          <w:szCs w:val="32"/>
        </w:rPr>
        <w:t>（五）承担保护区内有益的或有重要经济、科学研究价值的野生动植物资源保护管理工作；</w:t>
      </w:r>
    </w:p>
    <w:p>
      <w:pPr>
        <w:widowControl/>
        <w:shd w:val="clear" w:color="auto" w:fill="FFFFFF"/>
        <w:spacing w:line="384" w:lineRule="atLeast"/>
        <w:ind w:firstLine="480" w:firstLineChars="150"/>
        <w:jc w:val="left"/>
        <w:rPr>
          <w:rFonts w:ascii="Arial" w:hAnsi="Arial" w:cs="Arial"/>
          <w:color w:val="333333"/>
          <w:kern w:val="0"/>
          <w:sz w:val="32"/>
          <w:szCs w:val="32"/>
        </w:rPr>
      </w:pPr>
      <w:r>
        <w:rPr>
          <w:rFonts w:hint="eastAsia" w:ascii="Arial" w:hAnsi="Arial" w:cs="Arial"/>
          <w:color w:val="333333"/>
          <w:kern w:val="0"/>
          <w:sz w:val="32"/>
          <w:szCs w:val="32"/>
        </w:rPr>
        <w:t>（六）完成上级交办的其他工作任务。</w:t>
      </w:r>
    </w:p>
    <w:p>
      <w:pPr>
        <w:pStyle w:val="9"/>
        <w:ind w:left="420" w:firstLine="161" w:firstLineChars="50"/>
        <w:rPr>
          <w:rFonts w:asciiTheme="minorEastAsia" w:hAnsiTheme="minorEastAsia"/>
          <w:b/>
          <w:color w:val="666666"/>
          <w:sz w:val="32"/>
          <w:szCs w:val="32"/>
          <w:shd w:val="clear" w:color="auto" w:fill="FFFFFF"/>
        </w:rPr>
      </w:pPr>
      <w:r>
        <w:rPr>
          <w:rFonts w:hint="eastAsia" w:asciiTheme="minorEastAsia" w:hAnsiTheme="minorEastAsia"/>
          <w:b/>
          <w:color w:val="666666"/>
          <w:sz w:val="32"/>
          <w:szCs w:val="32"/>
          <w:shd w:val="clear" w:color="auto" w:fill="FFFFFF"/>
        </w:rPr>
        <w:t>内设机构</w:t>
      </w:r>
    </w:p>
    <w:p>
      <w:pPr>
        <w:pStyle w:val="5"/>
        <w:spacing w:beforeAutospacing="0" w:afterAutospacing="0" w:line="360" w:lineRule="auto"/>
        <w:ind w:firstLine="640" w:firstLineChars="200"/>
        <w:rPr>
          <w:sz w:val="32"/>
          <w:szCs w:val="32"/>
        </w:rPr>
      </w:pPr>
      <w:r>
        <w:rPr>
          <w:rFonts w:hint="eastAsia" w:cs="仿宋"/>
          <w:bCs/>
          <w:sz w:val="32"/>
          <w:szCs w:val="32"/>
        </w:rPr>
        <w:t>常宁市大义山自然保护区管理局内设机构包括：</w:t>
      </w:r>
      <w:r>
        <w:rPr>
          <w:rFonts w:hint="eastAsia" w:cs="Arial"/>
          <w:color w:val="333333"/>
          <w:sz w:val="32"/>
          <w:szCs w:val="32"/>
        </w:rPr>
        <w:t>办公室、保护管理股、生产经营股、科研宣传股、社区事务股</w:t>
      </w:r>
      <w:r>
        <w:rPr>
          <w:rFonts w:hint="eastAsia"/>
          <w:sz w:val="32"/>
          <w:szCs w:val="32"/>
        </w:rPr>
        <w:t>。</w:t>
      </w:r>
    </w:p>
    <w:p>
      <w:pPr>
        <w:pStyle w:val="9"/>
        <w:numPr>
          <w:ilvl w:val="0"/>
          <w:numId w:val="1"/>
        </w:numPr>
        <w:ind w:firstLineChars="0"/>
        <w:rPr>
          <w:rFonts w:asciiTheme="minorEastAsia" w:hAnsiTheme="minorEastAsia"/>
          <w:b/>
          <w:color w:val="666666"/>
          <w:sz w:val="32"/>
          <w:szCs w:val="32"/>
          <w:shd w:val="clear" w:color="auto" w:fill="FFFFFF"/>
        </w:rPr>
      </w:pPr>
      <w:r>
        <w:rPr>
          <w:rFonts w:hint="eastAsia" w:asciiTheme="minorEastAsia" w:hAnsiTheme="minorEastAsia"/>
          <w:b/>
          <w:color w:val="666666"/>
          <w:sz w:val="32"/>
          <w:szCs w:val="32"/>
          <w:shd w:val="clear" w:color="auto" w:fill="FFFFFF"/>
        </w:rPr>
        <w:t>部门整体预算及执行、管理情况</w:t>
      </w:r>
    </w:p>
    <w:p>
      <w:pPr>
        <w:pStyle w:val="9"/>
        <w:ind w:left="420" w:firstLine="0" w:firstLineChars="0"/>
        <w:rPr>
          <w:rFonts w:asciiTheme="minorEastAsia" w:hAnsiTheme="minorEastAsia"/>
          <w:b/>
          <w:color w:val="666666"/>
          <w:sz w:val="32"/>
          <w:szCs w:val="32"/>
          <w:shd w:val="clear" w:color="auto" w:fill="FFFFFF"/>
        </w:rPr>
      </w:pPr>
      <w:r>
        <w:rPr>
          <w:rFonts w:hint="eastAsia" w:asciiTheme="minorEastAsia" w:hAnsiTheme="minorEastAsia"/>
          <w:b/>
          <w:color w:val="666666"/>
          <w:sz w:val="32"/>
          <w:szCs w:val="32"/>
          <w:shd w:val="clear" w:color="auto" w:fill="FFFFFF"/>
        </w:rPr>
        <w:t>（一）部门预算情况</w:t>
      </w:r>
    </w:p>
    <w:p>
      <w:pPr>
        <w:ind w:firstLine="447" w:firstLineChars="139"/>
        <w:rPr>
          <w:rFonts w:asciiTheme="minorEastAsia" w:hAnsiTheme="minorEastAsia"/>
          <w:b/>
          <w:color w:val="666666"/>
          <w:sz w:val="32"/>
          <w:szCs w:val="32"/>
          <w:shd w:val="clear" w:color="auto" w:fill="FFFFFF"/>
        </w:rPr>
      </w:pPr>
      <w:r>
        <w:rPr>
          <w:rFonts w:hint="eastAsia" w:asciiTheme="minorEastAsia" w:hAnsiTheme="minorEastAsia"/>
          <w:b/>
          <w:color w:val="666666"/>
          <w:sz w:val="32"/>
          <w:szCs w:val="32"/>
          <w:shd w:val="clear" w:color="auto" w:fill="FFFFFF"/>
        </w:rPr>
        <w:t>1.部门预算收入</w:t>
      </w:r>
    </w:p>
    <w:p>
      <w:pPr>
        <w:pStyle w:val="5"/>
        <w:spacing w:beforeAutospacing="0" w:afterAutospacing="0" w:line="360" w:lineRule="auto"/>
        <w:ind w:firstLine="480"/>
        <w:rPr>
          <w:sz w:val="32"/>
          <w:szCs w:val="32"/>
        </w:rPr>
      </w:pPr>
      <w:r>
        <w:rPr>
          <w:rFonts w:hint="eastAsia" w:ascii="微软雅黑" w:hAnsi="微软雅黑" w:eastAsia="微软雅黑"/>
          <w:color w:val="666666"/>
          <w:sz w:val="32"/>
          <w:szCs w:val="32"/>
        </w:rPr>
        <w:t xml:space="preserve">　 </w:t>
      </w:r>
      <w:r>
        <w:rPr>
          <w:rFonts w:hint="eastAsia"/>
          <w:sz w:val="32"/>
          <w:szCs w:val="32"/>
        </w:rPr>
        <w:t>2021年年初部门收入预算数183.92万元</w:t>
      </w:r>
      <w:r>
        <w:rPr>
          <w:sz w:val="32"/>
          <w:szCs w:val="32"/>
        </w:rPr>
        <w:t>，</w:t>
      </w:r>
      <w:r>
        <w:rPr>
          <w:rFonts w:hint="eastAsia"/>
          <w:sz w:val="32"/>
          <w:szCs w:val="32"/>
        </w:rPr>
        <w:t>一般公共预算拨款142.92万元，占总收入比重的78%，上级专款41万，占总收入的22%。无纳入预算管理的非税收入及政府性基金预算拨款。</w:t>
      </w:r>
    </w:p>
    <w:p>
      <w:pPr>
        <w:pStyle w:val="5"/>
        <w:spacing w:beforeAutospacing="0" w:afterAutospacing="0" w:line="360" w:lineRule="auto"/>
        <w:ind w:firstLine="480"/>
        <w:rPr>
          <w:rFonts w:asciiTheme="minorEastAsia" w:hAnsiTheme="minorEastAsia" w:eastAsiaTheme="minorEastAsia"/>
          <w:b/>
          <w:sz w:val="32"/>
          <w:szCs w:val="32"/>
        </w:rPr>
      </w:pPr>
      <w:r>
        <w:rPr>
          <w:rFonts w:hint="eastAsia" w:asciiTheme="minorEastAsia" w:hAnsiTheme="minorEastAsia" w:eastAsiaTheme="minorEastAsia"/>
          <w:b/>
          <w:sz w:val="32"/>
          <w:szCs w:val="32"/>
        </w:rPr>
        <w:t>2.部门预算支出</w:t>
      </w:r>
    </w:p>
    <w:p>
      <w:pPr>
        <w:pStyle w:val="5"/>
        <w:spacing w:beforeAutospacing="0" w:afterAutospacing="0" w:line="360" w:lineRule="auto"/>
        <w:ind w:firstLine="960" w:firstLineChars="300"/>
        <w:rPr>
          <w:sz w:val="32"/>
          <w:szCs w:val="32"/>
        </w:rPr>
      </w:pPr>
      <w:r>
        <w:rPr>
          <w:rFonts w:hint="eastAsia"/>
          <w:sz w:val="32"/>
          <w:szCs w:val="32"/>
        </w:rPr>
        <w:t>2021年年初部门支出预算数183.92万元，农林水支出176.79万元，住房改革支出7.13万元。其中基本支出142.92万元，项目支出41万元。</w:t>
      </w:r>
      <w:r>
        <w:rPr>
          <w:sz w:val="32"/>
          <w:szCs w:val="32"/>
        </w:rPr>
        <w:t>具体情况如下：</w:t>
      </w:r>
    </w:p>
    <w:p>
      <w:pPr>
        <w:pStyle w:val="5"/>
        <w:spacing w:beforeAutospacing="0" w:afterAutospacing="0" w:line="360" w:lineRule="auto"/>
        <w:ind w:firstLine="643" w:firstLineChars="200"/>
        <w:rPr>
          <w:sz w:val="32"/>
          <w:szCs w:val="32"/>
        </w:rPr>
      </w:pPr>
      <w:r>
        <w:rPr>
          <w:b/>
          <w:bCs/>
          <w:sz w:val="32"/>
          <w:szCs w:val="32"/>
        </w:rPr>
        <w:t>（一）基本支出</w:t>
      </w:r>
      <w:r>
        <w:rPr>
          <w:sz w:val="32"/>
          <w:szCs w:val="32"/>
        </w:rPr>
        <w:t>：20</w:t>
      </w:r>
      <w:r>
        <w:rPr>
          <w:rFonts w:hint="eastAsia"/>
          <w:sz w:val="32"/>
          <w:szCs w:val="32"/>
        </w:rPr>
        <w:t>21</w:t>
      </w:r>
      <w:r>
        <w:rPr>
          <w:sz w:val="32"/>
          <w:szCs w:val="32"/>
        </w:rPr>
        <w:t>年年初预算数为</w:t>
      </w:r>
      <w:r>
        <w:rPr>
          <w:rFonts w:hint="eastAsia"/>
          <w:sz w:val="32"/>
          <w:szCs w:val="32"/>
        </w:rPr>
        <w:t>142.92</w:t>
      </w:r>
      <w:r>
        <w:rPr>
          <w:sz w:val="32"/>
          <w:szCs w:val="32"/>
        </w:rPr>
        <w:t>万元，占总支出的比重为</w:t>
      </w:r>
      <w:r>
        <w:rPr>
          <w:rFonts w:hint="eastAsia"/>
          <w:sz w:val="32"/>
          <w:szCs w:val="32"/>
        </w:rPr>
        <w:t>78</w:t>
      </w:r>
      <w:r>
        <w:rPr>
          <w:sz w:val="32"/>
          <w:szCs w:val="32"/>
        </w:rPr>
        <w:t>%；其中，人员经费</w:t>
      </w:r>
      <w:r>
        <w:rPr>
          <w:rFonts w:hint="eastAsia"/>
          <w:sz w:val="32"/>
          <w:szCs w:val="32"/>
        </w:rPr>
        <w:t>132.08</w:t>
      </w:r>
      <w:r>
        <w:rPr>
          <w:sz w:val="32"/>
          <w:szCs w:val="32"/>
        </w:rPr>
        <w:t>万元，</w:t>
      </w:r>
      <w:r>
        <w:rPr>
          <w:rFonts w:hint="eastAsia"/>
          <w:sz w:val="32"/>
          <w:szCs w:val="32"/>
        </w:rPr>
        <w:t>商品和服务支出10.84</w:t>
      </w:r>
      <w:r>
        <w:rPr>
          <w:sz w:val="32"/>
          <w:szCs w:val="32"/>
        </w:rPr>
        <w:t>万元</w:t>
      </w:r>
      <w:r>
        <w:rPr>
          <w:rFonts w:hint="eastAsia"/>
          <w:sz w:val="32"/>
          <w:szCs w:val="32"/>
        </w:rPr>
        <w:t>。</w:t>
      </w:r>
    </w:p>
    <w:p>
      <w:pPr>
        <w:pStyle w:val="5"/>
        <w:spacing w:beforeAutospacing="0" w:afterAutospacing="0" w:line="360" w:lineRule="auto"/>
        <w:ind w:firstLine="643" w:firstLineChars="200"/>
        <w:rPr>
          <w:sz w:val="32"/>
          <w:szCs w:val="32"/>
        </w:rPr>
      </w:pPr>
      <w:r>
        <w:rPr>
          <w:b/>
          <w:bCs/>
          <w:sz w:val="32"/>
          <w:szCs w:val="32"/>
        </w:rPr>
        <w:t>（二）项目支出</w:t>
      </w:r>
      <w:r>
        <w:rPr>
          <w:sz w:val="32"/>
          <w:szCs w:val="32"/>
        </w:rPr>
        <w:t>：20</w:t>
      </w:r>
      <w:r>
        <w:rPr>
          <w:rFonts w:hint="eastAsia"/>
          <w:sz w:val="32"/>
          <w:szCs w:val="32"/>
        </w:rPr>
        <w:t>21</w:t>
      </w:r>
      <w:r>
        <w:rPr>
          <w:sz w:val="32"/>
          <w:szCs w:val="32"/>
        </w:rPr>
        <w:t>年年初预算数为</w:t>
      </w:r>
      <w:r>
        <w:rPr>
          <w:rFonts w:hint="eastAsia"/>
          <w:sz w:val="32"/>
          <w:szCs w:val="32"/>
        </w:rPr>
        <w:t>41</w:t>
      </w:r>
      <w:r>
        <w:rPr>
          <w:sz w:val="32"/>
          <w:szCs w:val="32"/>
        </w:rPr>
        <w:t>万元，是</w:t>
      </w:r>
      <w:r>
        <w:rPr>
          <w:rFonts w:hint="eastAsia"/>
          <w:sz w:val="32"/>
          <w:szCs w:val="32"/>
        </w:rPr>
        <w:t>指我单位</w:t>
      </w:r>
      <w:r>
        <w:rPr>
          <w:sz w:val="32"/>
          <w:szCs w:val="32"/>
        </w:rPr>
        <w:t>为完成财政财务管理工作或事业发展目标而发生的支出。主要包括</w:t>
      </w:r>
      <w:r>
        <w:rPr>
          <w:rFonts w:hint="eastAsia"/>
          <w:sz w:val="32"/>
          <w:szCs w:val="32"/>
        </w:rPr>
        <w:t>：文物古迹保护15万元，自然资源管理与保护11万元，自然资源调查与推广宣传15万元。</w:t>
      </w:r>
    </w:p>
    <w:p>
      <w:pPr>
        <w:pStyle w:val="5"/>
        <w:spacing w:beforeAutospacing="0" w:afterAutospacing="0" w:line="360" w:lineRule="auto"/>
        <w:ind w:firstLine="480"/>
        <w:rPr>
          <w:b/>
          <w:sz w:val="32"/>
          <w:szCs w:val="32"/>
        </w:rPr>
      </w:pPr>
      <w:r>
        <w:rPr>
          <w:rFonts w:hint="eastAsia"/>
          <w:b/>
          <w:sz w:val="32"/>
          <w:szCs w:val="32"/>
        </w:rPr>
        <w:t>（二）部门预算执行情况</w:t>
      </w:r>
    </w:p>
    <w:p>
      <w:pPr>
        <w:pStyle w:val="5"/>
        <w:spacing w:beforeAutospacing="0" w:afterAutospacing="0" w:line="360" w:lineRule="auto"/>
        <w:ind w:firstLine="482" w:firstLineChars="150"/>
        <w:rPr>
          <w:b/>
          <w:sz w:val="32"/>
          <w:szCs w:val="32"/>
        </w:rPr>
      </w:pPr>
      <w:r>
        <w:rPr>
          <w:rFonts w:hint="eastAsia"/>
          <w:b/>
          <w:sz w:val="32"/>
          <w:szCs w:val="32"/>
        </w:rPr>
        <w:t>1.部门实际收入</w:t>
      </w:r>
    </w:p>
    <w:p>
      <w:pPr>
        <w:pStyle w:val="5"/>
        <w:spacing w:beforeAutospacing="0" w:afterAutospacing="0" w:line="360" w:lineRule="auto"/>
        <w:ind w:firstLine="800" w:firstLineChars="250"/>
        <w:rPr>
          <w:b/>
          <w:sz w:val="32"/>
          <w:szCs w:val="32"/>
        </w:rPr>
      </w:pPr>
      <w:r>
        <w:rPr>
          <w:rFonts w:hint="eastAsia" w:cs="仿宋"/>
          <w:bCs/>
          <w:kern w:val="2"/>
          <w:sz w:val="32"/>
          <w:szCs w:val="32"/>
        </w:rPr>
        <w:t>2021年收入合计1537.96万元，按收入性质分：财政拨款收入1531.71万元，占99.6%其他收入6.25万元占0.04%。</w:t>
      </w:r>
    </w:p>
    <w:p>
      <w:pPr>
        <w:pStyle w:val="12"/>
        <w:spacing w:line="560" w:lineRule="exact"/>
        <w:ind w:firstLine="321" w:firstLineChars="100"/>
        <w:rPr>
          <w:rFonts w:ascii="宋体" w:hAnsi="宋体" w:eastAsia="宋体" w:cs="仿宋"/>
          <w:b/>
          <w:bCs/>
          <w:color w:val="auto"/>
          <w:kern w:val="2"/>
          <w:sz w:val="32"/>
          <w:szCs w:val="32"/>
        </w:rPr>
      </w:pPr>
      <w:r>
        <w:rPr>
          <w:rFonts w:hint="eastAsia" w:ascii="宋体" w:hAnsi="宋体" w:eastAsia="宋体" w:cs="仿宋"/>
          <w:b/>
          <w:bCs/>
          <w:color w:val="auto"/>
          <w:kern w:val="2"/>
          <w:sz w:val="32"/>
          <w:szCs w:val="32"/>
        </w:rPr>
        <w:t>2.部门实际支出</w:t>
      </w:r>
    </w:p>
    <w:p>
      <w:pPr>
        <w:pStyle w:val="12"/>
        <w:spacing w:line="560" w:lineRule="exact"/>
        <w:ind w:firstLine="640" w:firstLineChars="200"/>
        <w:rPr>
          <w:rFonts w:ascii="宋体" w:hAnsi="宋体" w:eastAsia="宋体" w:cs="仿宋"/>
          <w:bCs/>
          <w:color w:val="auto"/>
          <w:kern w:val="2"/>
          <w:sz w:val="32"/>
          <w:szCs w:val="32"/>
        </w:rPr>
      </w:pPr>
      <w:r>
        <w:rPr>
          <w:rFonts w:hint="eastAsia" w:ascii="宋体" w:hAnsi="宋体" w:eastAsia="宋体" w:cs="仿宋"/>
          <w:bCs/>
          <w:color w:val="auto"/>
          <w:kern w:val="2"/>
          <w:sz w:val="32"/>
          <w:szCs w:val="32"/>
        </w:rPr>
        <w:t>2021年支出合计1537.96万元，按支出的性质分：基本支134.63出万元，占8.8%；项目支出1403.33万元，占91.2%。</w:t>
      </w:r>
    </w:p>
    <w:p>
      <w:pPr>
        <w:ind w:firstLine="480" w:firstLineChars="150"/>
        <w:jc w:val="left"/>
        <w:rPr>
          <w:rFonts w:ascii="宋体" w:hAnsi="宋体" w:cs="Arial"/>
          <w:color w:val="000000"/>
          <w:kern w:val="0"/>
          <w:sz w:val="32"/>
          <w:szCs w:val="32"/>
        </w:rPr>
      </w:pPr>
      <w:r>
        <w:rPr>
          <w:rFonts w:hint="eastAsia" w:ascii="宋体" w:hAnsi="宋体" w:cs="仿宋"/>
          <w:bCs/>
          <w:sz w:val="32"/>
          <w:szCs w:val="32"/>
        </w:rPr>
        <w:t>2021年度项目支出资金共计1403.33万元，按功能分，包括一般行政管理事务39.93万元，自然保护区管理等2.31万元，其他林业和草原支出15万元，节能环保支出1339.84万元，其他支出6.25万元</w:t>
      </w:r>
    </w:p>
    <w:p>
      <w:pPr>
        <w:spacing w:line="540" w:lineRule="exact"/>
        <w:ind w:firstLine="482" w:firstLineChars="150"/>
        <w:rPr>
          <w:rFonts w:ascii="宋体" w:hAnsi="宋体" w:eastAsia="宋体" w:cs="Times New Roman"/>
          <w:b/>
          <w:sz w:val="32"/>
          <w:szCs w:val="32"/>
        </w:rPr>
      </w:pPr>
      <w:r>
        <w:rPr>
          <w:rFonts w:hint="eastAsia" w:ascii="宋体" w:hAnsi="宋体" w:eastAsia="宋体" w:cs="Times New Roman"/>
          <w:b/>
          <w:sz w:val="32"/>
          <w:szCs w:val="32"/>
        </w:rPr>
        <w:t>（三）项目绩效目标。</w:t>
      </w:r>
    </w:p>
    <w:p>
      <w:pPr>
        <w:pStyle w:val="12"/>
        <w:spacing w:line="560" w:lineRule="exact"/>
        <w:ind w:firstLine="800" w:firstLineChars="250"/>
        <w:rPr>
          <w:rFonts w:ascii="宋体" w:hAnsi="宋体" w:eastAsia="宋体" w:cs="仿宋"/>
          <w:bCs/>
          <w:color w:val="auto"/>
          <w:kern w:val="2"/>
          <w:sz w:val="32"/>
          <w:szCs w:val="32"/>
        </w:rPr>
      </w:pPr>
      <w:r>
        <w:rPr>
          <w:rFonts w:hint="eastAsia" w:ascii="宋体" w:hAnsi="宋体" w:eastAsia="宋体"/>
          <w:sz w:val="32"/>
          <w:szCs w:val="32"/>
        </w:rPr>
        <w:t>全面加强自然资源保护，在保护区进行大规模宣传活动及日常巡护工作，开展受损生态系统修复，</w:t>
      </w:r>
      <w:r>
        <w:rPr>
          <w:rFonts w:hint="eastAsia" w:ascii="宋体" w:hAnsi="宋体" w:eastAsia="宋体" w:cs="仿宋"/>
          <w:bCs/>
          <w:color w:val="auto"/>
          <w:kern w:val="2"/>
          <w:sz w:val="32"/>
          <w:szCs w:val="32"/>
        </w:rPr>
        <w:t>保护生物多样性，保护濒临灭绝的野生动植物，保持生态平衡，促进人与自然和谐共生，建设美好的人居环境，促进生态文明建设，打造更美的新常宁。</w:t>
      </w:r>
    </w:p>
    <w:p>
      <w:pPr>
        <w:pStyle w:val="12"/>
        <w:spacing w:line="560" w:lineRule="exact"/>
        <w:rPr>
          <w:rFonts w:ascii="宋体" w:hAnsi="宋体" w:eastAsia="宋体" w:cs="仿宋"/>
          <w:b/>
          <w:bCs/>
          <w:color w:val="auto"/>
          <w:kern w:val="2"/>
          <w:sz w:val="32"/>
          <w:szCs w:val="32"/>
        </w:rPr>
      </w:pPr>
      <w:r>
        <w:rPr>
          <w:rFonts w:hint="eastAsia" w:ascii="宋体" w:hAnsi="宋体" w:eastAsia="宋体" w:cs="仿宋"/>
          <w:b/>
          <w:bCs/>
          <w:color w:val="auto"/>
          <w:kern w:val="2"/>
          <w:sz w:val="32"/>
          <w:szCs w:val="32"/>
        </w:rPr>
        <w:t>四、部门整体支出绩效情况</w:t>
      </w:r>
    </w:p>
    <w:p>
      <w:pPr>
        <w:pStyle w:val="12"/>
        <w:spacing w:line="560" w:lineRule="exact"/>
        <w:ind w:firstLine="320" w:firstLineChars="100"/>
        <w:rPr>
          <w:rFonts w:ascii="宋体" w:hAnsi="宋体" w:eastAsia="宋体" w:cs="仿宋"/>
          <w:bCs/>
          <w:color w:val="auto"/>
          <w:kern w:val="2"/>
          <w:sz w:val="32"/>
          <w:szCs w:val="32"/>
        </w:rPr>
      </w:pPr>
      <w:r>
        <w:rPr>
          <w:rFonts w:hint="eastAsia" w:ascii="宋体" w:hAnsi="宋体" w:eastAsia="宋体" w:cs="仿宋"/>
          <w:bCs/>
          <w:color w:val="auto"/>
          <w:kern w:val="2"/>
          <w:sz w:val="32"/>
          <w:szCs w:val="32"/>
        </w:rPr>
        <w:t>（一）项目绩效总目标完成情况及社会效益如下：</w:t>
      </w:r>
    </w:p>
    <w:p>
      <w:pPr>
        <w:pStyle w:val="12"/>
        <w:spacing w:line="560" w:lineRule="exact"/>
        <w:ind w:firstLine="320" w:firstLineChars="100"/>
        <w:rPr>
          <w:rFonts w:ascii="宋体" w:hAnsi="宋体" w:eastAsia="宋体" w:cs="仿宋"/>
          <w:bCs/>
          <w:color w:val="auto"/>
          <w:kern w:val="2"/>
          <w:sz w:val="32"/>
          <w:szCs w:val="32"/>
        </w:rPr>
      </w:pPr>
      <w:r>
        <w:rPr>
          <w:rFonts w:hint="eastAsia" w:ascii="宋体" w:hAnsi="宋体" w:eastAsia="宋体" w:cs="仿宋"/>
          <w:bCs/>
          <w:color w:val="auto"/>
          <w:kern w:val="2"/>
          <w:sz w:val="32"/>
          <w:szCs w:val="32"/>
        </w:rPr>
        <w:t>1.</w:t>
      </w:r>
      <w:r>
        <w:rPr>
          <w:rFonts w:hint="eastAsia" w:ascii="宋体" w:hAnsi="宋体" w:eastAsia="宋体"/>
          <w:bCs/>
          <w:color w:val="383838"/>
          <w:sz w:val="32"/>
          <w:shd w:val="clear" w:color="auto" w:fill="FFFFFF"/>
        </w:rPr>
        <w:t xml:space="preserve"> 时效目标</w:t>
      </w:r>
    </w:p>
    <w:p>
      <w:pPr>
        <w:spacing w:line="600" w:lineRule="exact"/>
        <w:ind w:firstLine="640" w:firstLineChars="200"/>
        <w:outlineLvl w:val="0"/>
        <w:rPr>
          <w:rFonts w:ascii="宋体" w:hAnsi="宋体" w:eastAsia="宋体" w:cs="Times New Roman"/>
          <w:sz w:val="32"/>
          <w:szCs w:val="32"/>
        </w:rPr>
      </w:pPr>
      <w:r>
        <w:rPr>
          <w:rFonts w:hint="eastAsia" w:ascii="宋体" w:hAnsi="宋体" w:eastAsia="宋体" w:cs="Times New Roman"/>
          <w:sz w:val="32"/>
          <w:szCs w:val="32"/>
        </w:rPr>
        <w:t>我局20</w:t>
      </w:r>
      <w:r>
        <w:rPr>
          <w:rFonts w:hint="eastAsia" w:ascii="宋体" w:hAnsi="宋体" w:eastAsia="宋体"/>
          <w:sz w:val="32"/>
          <w:szCs w:val="32"/>
        </w:rPr>
        <w:t>21</w:t>
      </w:r>
      <w:r>
        <w:rPr>
          <w:rFonts w:hint="eastAsia" w:ascii="宋体" w:hAnsi="宋体" w:eastAsia="宋体" w:cs="Times New Roman"/>
          <w:sz w:val="32"/>
          <w:szCs w:val="32"/>
        </w:rPr>
        <w:t>年度项目已全部完成，完工率100%，</w:t>
      </w:r>
      <w:r>
        <w:rPr>
          <w:rFonts w:hint="eastAsia" w:ascii="宋体" w:hAnsi="宋体" w:eastAsia="宋体"/>
          <w:sz w:val="32"/>
          <w:szCs w:val="32"/>
        </w:rPr>
        <w:t>资金</w:t>
      </w:r>
      <w:r>
        <w:rPr>
          <w:rFonts w:hint="eastAsia" w:ascii="宋体" w:hAnsi="宋体" w:eastAsia="宋体" w:cs="Times New Roman"/>
          <w:sz w:val="32"/>
          <w:szCs w:val="32"/>
        </w:rPr>
        <w:t>全部拨付到位</w:t>
      </w:r>
      <w:r>
        <w:rPr>
          <w:rFonts w:hint="eastAsia" w:ascii="宋体" w:hAnsi="宋体" w:eastAsia="宋体"/>
          <w:sz w:val="32"/>
          <w:szCs w:val="32"/>
        </w:rPr>
        <w:t>，</w:t>
      </w:r>
      <w:r>
        <w:rPr>
          <w:rFonts w:hint="eastAsia" w:ascii="宋体" w:hAnsi="宋体" w:eastAsia="宋体"/>
          <w:bCs/>
          <w:color w:val="383838"/>
          <w:sz w:val="32"/>
          <w:shd w:val="clear" w:color="auto" w:fill="FFFFFF"/>
        </w:rPr>
        <w:t>已达到绩效目标,完成了全年工作任务</w:t>
      </w:r>
      <w:r>
        <w:rPr>
          <w:rFonts w:hint="eastAsia" w:ascii="仿宋" w:hAnsi="仿宋" w:eastAsia="仿宋"/>
          <w:bCs/>
          <w:color w:val="383838"/>
          <w:sz w:val="32"/>
          <w:shd w:val="clear" w:color="auto" w:fill="FFFFFF"/>
        </w:rPr>
        <w:t>。</w:t>
      </w:r>
    </w:p>
    <w:p>
      <w:pPr>
        <w:pStyle w:val="12"/>
        <w:spacing w:line="560" w:lineRule="exact"/>
        <w:ind w:firstLine="320" w:firstLineChars="100"/>
        <w:rPr>
          <w:rFonts w:ascii="宋体" w:hAnsi="宋体" w:eastAsia="宋体" w:cs="仿宋"/>
          <w:bCs/>
          <w:color w:val="auto"/>
          <w:kern w:val="2"/>
          <w:sz w:val="32"/>
          <w:szCs w:val="32"/>
        </w:rPr>
      </w:pPr>
      <w:r>
        <w:rPr>
          <w:rFonts w:hint="eastAsia" w:ascii="宋体" w:hAnsi="宋体" w:eastAsia="宋体" w:cs="仿宋"/>
          <w:bCs/>
          <w:color w:val="auto"/>
          <w:kern w:val="2"/>
          <w:sz w:val="32"/>
          <w:szCs w:val="32"/>
        </w:rPr>
        <w:t>2.社会效益</w:t>
      </w:r>
    </w:p>
    <w:p>
      <w:pPr>
        <w:ind w:firstLine="640" w:firstLineChars="200"/>
        <w:rPr>
          <w:rFonts w:cs="楷体" w:asciiTheme="minorEastAsia" w:hAnsiTheme="minorEastAsia"/>
          <w:b/>
          <w:color w:val="333333"/>
          <w:sz w:val="32"/>
          <w:szCs w:val="32"/>
        </w:rPr>
      </w:pPr>
      <w:r>
        <w:rPr>
          <w:rFonts w:hint="eastAsia" w:cs="仿宋" w:asciiTheme="minorEastAsia" w:hAnsiTheme="minorEastAsia"/>
          <w:bCs/>
          <w:sz w:val="32"/>
          <w:szCs w:val="32"/>
        </w:rPr>
        <w:t>1）.</w:t>
      </w:r>
      <w:r>
        <w:rPr>
          <w:rFonts w:hint="eastAsia" w:cs="楷体" w:asciiTheme="minorEastAsia" w:hAnsiTheme="minorEastAsia"/>
          <w:b/>
          <w:color w:val="333333"/>
          <w:sz w:val="32"/>
          <w:szCs w:val="32"/>
        </w:rPr>
        <w:t xml:space="preserve"> 抓宣传推广，促进生态文明建设。</w:t>
      </w:r>
    </w:p>
    <w:p>
      <w:pPr>
        <w:ind w:firstLine="640" w:firstLineChars="200"/>
        <w:rPr>
          <w:rFonts w:cs="宋体" w:asciiTheme="minorEastAsia" w:hAnsiTheme="minorEastAsia"/>
          <w:kern w:val="0"/>
          <w:sz w:val="32"/>
          <w:szCs w:val="32"/>
        </w:rPr>
      </w:pPr>
      <w:r>
        <w:rPr>
          <w:rFonts w:hint="eastAsia" w:cs="仿宋" w:asciiTheme="minorEastAsia" w:hAnsiTheme="minorEastAsia"/>
          <w:color w:val="333333"/>
          <w:sz w:val="32"/>
          <w:szCs w:val="32"/>
        </w:rPr>
        <w:t>通过宣传促进了大家对保护区的了解，营造了良好的生态环境保护氛围。</w:t>
      </w:r>
      <w:r>
        <w:rPr>
          <w:rFonts w:hint="eastAsia" w:cs="宋体" w:asciiTheme="minorEastAsia" w:hAnsiTheme="minorEastAsia"/>
          <w:kern w:val="0"/>
          <w:sz w:val="32"/>
          <w:szCs w:val="32"/>
        </w:rPr>
        <w:t>有效保护园区古树、古迹，打造森林旅游文化景点，开展植物科普常识教育。</w:t>
      </w:r>
    </w:p>
    <w:p>
      <w:pPr>
        <w:ind w:firstLine="640" w:firstLineChars="200"/>
        <w:rPr>
          <w:rFonts w:cs="仿宋" w:asciiTheme="minorEastAsia" w:hAnsiTheme="minorEastAsia"/>
          <w:sz w:val="32"/>
          <w:szCs w:val="32"/>
        </w:rPr>
      </w:pPr>
      <w:r>
        <w:rPr>
          <w:rFonts w:hint="eastAsia" w:cs="仿宋" w:asciiTheme="minorEastAsia" w:hAnsiTheme="minorEastAsia"/>
          <w:bCs/>
          <w:sz w:val="32"/>
          <w:szCs w:val="32"/>
        </w:rPr>
        <w:t>2）.</w:t>
      </w:r>
      <w:r>
        <w:rPr>
          <w:rFonts w:hint="eastAsia" w:cs="楷体" w:asciiTheme="minorEastAsia" w:hAnsiTheme="minorEastAsia"/>
          <w:b/>
          <w:color w:val="333333"/>
          <w:sz w:val="32"/>
          <w:szCs w:val="32"/>
        </w:rPr>
        <w:t>抓巡护管理，促进巡护管理工作常态化。</w:t>
      </w:r>
      <w:r>
        <w:rPr>
          <w:rFonts w:hint="eastAsia" w:cs="仿宋" w:asciiTheme="minorEastAsia" w:hAnsiTheme="minorEastAsia"/>
          <w:sz w:val="32"/>
          <w:szCs w:val="32"/>
        </w:rPr>
        <w:t>加强与辖区乡镇政府沟通协调，确立了巡护管理日常化，坚决杜决保护区乱砍</w:t>
      </w:r>
      <w:r>
        <w:rPr>
          <w:rFonts w:hint="eastAsia" w:cs="仿宋" w:asciiTheme="minorEastAsia" w:hAnsiTheme="minorEastAsia"/>
          <w:color w:val="333333"/>
          <w:sz w:val="32"/>
          <w:szCs w:val="32"/>
        </w:rPr>
        <w:t>滥伐、乱挖滥采、乱捕滥猎等现象发生</w:t>
      </w:r>
      <w:r>
        <w:rPr>
          <w:rFonts w:hint="eastAsia" w:cs="仿宋" w:asciiTheme="minorEastAsia" w:hAnsiTheme="minorEastAsia"/>
          <w:sz w:val="32"/>
          <w:szCs w:val="32"/>
        </w:rPr>
        <w:t>，确保了自然保护区生态系统的安全。</w:t>
      </w:r>
    </w:p>
    <w:p>
      <w:pPr>
        <w:spacing w:line="600" w:lineRule="exact"/>
        <w:ind w:firstLine="540"/>
        <w:rPr>
          <w:rFonts w:cs="仿宋" w:asciiTheme="minorEastAsia" w:hAnsiTheme="minorEastAsia"/>
          <w:sz w:val="32"/>
          <w:szCs w:val="32"/>
        </w:rPr>
      </w:pPr>
      <w:r>
        <w:rPr>
          <w:rFonts w:hint="eastAsia" w:cs="仿宋" w:asciiTheme="minorEastAsia" w:hAnsiTheme="minorEastAsia"/>
          <w:sz w:val="32"/>
          <w:szCs w:val="32"/>
        </w:rPr>
        <w:t>3）.</w:t>
      </w:r>
      <w:r>
        <w:rPr>
          <w:rFonts w:hint="eastAsia" w:cs="仿宋" w:asciiTheme="minorEastAsia" w:hAnsiTheme="minorEastAsia"/>
          <w:b/>
          <w:color w:val="333333"/>
          <w:sz w:val="32"/>
          <w:szCs w:val="32"/>
        </w:rPr>
        <w:t xml:space="preserve"> 抓好生态修复。</w:t>
      </w:r>
      <w:r>
        <w:rPr>
          <w:rFonts w:hint="eastAsia" w:cs="仿宋" w:asciiTheme="minorEastAsia" w:hAnsiTheme="minorEastAsia"/>
          <w:sz w:val="32"/>
          <w:szCs w:val="32"/>
        </w:rPr>
        <w:t>开展受损生态系统修复和老矿场、老砂场的复绿工作，逐步恢复森林系统完整性和生物多样性。</w:t>
      </w:r>
    </w:p>
    <w:p>
      <w:pPr>
        <w:pStyle w:val="12"/>
        <w:spacing w:line="560" w:lineRule="exact"/>
        <w:rPr>
          <w:rFonts w:ascii="宋体" w:hAnsi="宋体" w:eastAsia="宋体" w:cs="仿宋"/>
          <w:bCs/>
          <w:color w:val="auto"/>
          <w:kern w:val="2"/>
          <w:sz w:val="32"/>
          <w:szCs w:val="32"/>
        </w:rPr>
      </w:pPr>
    </w:p>
    <w:p>
      <w:pPr>
        <w:pStyle w:val="12"/>
        <w:spacing w:line="560" w:lineRule="exact"/>
        <w:ind w:firstLine="480" w:firstLineChars="150"/>
        <w:rPr>
          <w:rFonts w:ascii="宋体" w:hAnsi="宋体" w:eastAsia="宋体" w:cs="仿宋"/>
          <w:bCs/>
          <w:color w:val="auto"/>
          <w:kern w:val="2"/>
          <w:sz w:val="32"/>
          <w:szCs w:val="32"/>
        </w:rPr>
      </w:pPr>
      <w:r>
        <w:rPr>
          <w:rFonts w:hint="eastAsia" w:ascii="宋体" w:hAnsi="宋体" w:eastAsia="宋体" w:cs="仿宋"/>
          <w:bCs/>
          <w:color w:val="auto"/>
          <w:kern w:val="2"/>
          <w:sz w:val="32"/>
          <w:szCs w:val="32"/>
        </w:rPr>
        <w:t>（二）绩效评价的目的</w:t>
      </w:r>
    </w:p>
    <w:p>
      <w:pPr>
        <w:spacing w:line="600" w:lineRule="exact"/>
        <w:ind w:firstLine="640" w:firstLineChars="200"/>
        <w:rPr>
          <w:rFonts w:ascii="宋体" w:hAnsi="宋体" w:eastAsia="宋体"/>
          <w:sz w:val="32"/>
          <w:szCs w:val="32"/>
        </w:rPr>
      </w:pPr>
      <w:r>
        <w:rPr>
          <w:rFonts w:hint="eastAsia" w:ascii="宋体" w:hAnsi="宋体" w:eastAsia="宋体"/>
          <w:sz w:val="32"/>
          <w:szCs w:val="32"/>
        </w:rPr>
        <w:t>1）.绩效评价是部门财政预算管理的重要组成部分，通过开展绩效评价工作，将绩效评价的结果作为预算支出的重要依据及时发现项目实施过程中存在的问题并反馈与整改，以确保更好的实施，</w:t>
      </w:r>
      <w:r>
        <w:rPr>
          <w:rFonts w:hint="eastAsia" w:ascii="宋体" w:hAnsi="宋体" w:eastAsia="宋体" w:cs="Times New Roman"/>
          <w:sz w:val="32"/>
          <w:szCs w:val="32"/>
        </w:rPr>
        <w:t>达到项目建设预期目标</w:t>
      </w:r>
      <w:r>
        <w:rPr>
          <w:rFonts w:hint="eastAsia" w:ascii="宋体" w:hAnsi="宋体" w:eastAsia="宋体"/>
          <w:sz w:val="32"/>
          <w:szCs w:val="32"/>
        </w:rPr>
        <w:t>。确保</w:t>
      </w:r>
      <w:r>
        <w:rPr>
          <w:rFonts w:hint="eastAsia" w:ascii="宋体" w:hAnsi="宋体" w:eastAsia="宋体" w:cs="Times New Roman"/>
          <w:sz w:val="32"/>
          <w:szCs w:val="32"/>
        </w:rPr>
        <w:t>项目</w:t>
      </w:r>
      <w:r>
        <w:rPr>
          <w:rFonts w:ascii="宋体" w:hAnsi="宋体" w:eastAsia="宋体" w:cs="Times New Roman"/>
          <w:sz w:val="32"/>
          <w:szCs w:val="32"/>
        </w:rPr>
        <w:t>管理机制</w:t>
      </w:r>
      <w:r>
        <w:rPr>
          <w:rFonts w:hint="eastAsia" w:ascii="宋体" w:hAnsi="宋体" w:eastAsia="宋体"/>
          <w:sz w:val="32"/>
          <w:szCs w:val="32"/>
        </w:rPr>
        <w:t>更加完善；</w:t>
      </w:r>
    </w:p>
    <w:p>
      <w:pPr>
        <w:spacing w:line="600" w:lineRule="exact"/>
        <w:ind w:firstLine="640" w:firstLineChars="200"/>
        <w:rPr>
          <w:rFonts w:ascii="宋体" w:hAnsi="宋体" w:eastAsia="宋体"/>
          <w:sz w:val="32"/>
          <w:szCs w:val="32"/>
        </w:rPr>
      </w:pPr>
      <w:r>
        <w:rPr>
          <w:rFonts w:hint="eastAsia" w:ascii="宋体" w:hAnsi="宋体" w:eastAsia="宋体"/>
          <w:sz w:val="32"/>
          <w:szCs w:val="32"/>
        </w:rPr>
        <w:t>2）.</w:t>
      </w:r>
      <w:r>
        <w:rPr>
          <w:rFonts w:hint="eastAsia" w:ascii="宋体" w:hAnsi="宋体" w:eastAsia="宋体" w:cs="Times New Roman"/>
          <w:sz w:val="32"/>
          <w:szCs w:val="32"/>
        </w:rPr>
        <w:t>从财政角度对资金支持对象的实际产出和效益进行评价，改进预算决策和管理水平，提高资金使用效益；</w:t>
      </w:r>
    </w:p>
    <w:p>
      <w:pPr>
        <w:spacing w:line="600" w:lineRule="exact"/>
        <w:ind w:firstLine="640" w:firstLineChars="200"/>
        <w:rPr>
          <w:rFonts w:ascii="宋体" w:hAnsi="宋体" w:eastAsia="宋体"/>
          <w:sz w:val="32"/>
          <w:szCs w:val="32"/>
        </w:rPr>
      </w:pPr>
      <w:r>
        <w:rPr>
          <w:rFonts w:hint="eastAsia" w:ascii="宋体" w:hAnsi="宋体" w:eastAsia="宋体"/>
          <w:sz w:val="32"/>
          <w:szCs w:val="32"/>
        </w:rPr>
        <w:t>3）.通过部门整体支出绩效评价，</w:t>
      </w:r>
      <w:r>
        <w:rPr>
          <w:rFonts w:hint="eastAsia" w:ascii="宋体" w:hAnsi="宋体" w:eastAsia="宋体" w:cs="Times New Roman"/>
          <w:sz w:val="32"/>
          <w:szCs w:val="32"/>
        </w:rPr>
        <w:t>促进部门从整体上提升预算绩效管理水平，科学编制预算，强化部门支出责任，规范资金管理行为，提升资金管理水平，保障部门更好地履行职责</w:t>
      </w:r>
      <w:r>
        <w:rPr>
          <w:rFonts w:hint="eastAsia" w:ascii="宋体" w:hAnsi="宋体" w:eastAsia="宋体"/>
          <w:sz w:val="32"/>
          <w:szCs w:val="32"/>
        </w:rPr>
        <w:t>。</w:t>
      </w:r>
    </w:p>
    <w:p>
      <w:pPr>
        <w:pStyle w:val="12"/>
        <w:spacing w:line="560" w:lineRule="exact"/>
        <w:ind w:firstLine="640" w:firstLineChars="200"/>
        <w:rPr>
          <w:rFonts w:ascii="宋体" w:hAnsi="宋体" w:eastAsia="宋体" w:cs="仿宋"/>
          <w:bCs/>
          <w:color w:val="auto"/>
          <w:kern w:val="2"/>
          <w:sz w:val="32"/>
          <w:szCs w:val="32"/>
        </w:rPr>
      </w:pPr>
      <w:r>
        <w:rPr>
          <w:rFonts w:hint="eastAsia" w:ascii="宋体" w:hAnsi="宋体" w:eastAsia="宋体"/>
          <w:sz w:val="32"/>
          <w:szCs w:val="32"/>
        </w:rPr>
        <w:t>4）.</w:t>
      </w:r>
      <w:r>
        <w:rPr>
          <w:rFonts w:hint="eastAsia" w:ascii="宋体" w:hAnsi="宋体" w:eastAsia="宋体" w:cs="仿宋"/>
          <w:bCs/>
          <w:sz w:val="32"/>
          <w:szCs w:val="32"/>
        </w:rPr>
        <w:t xml:space="preserve"> </w:t>
      </w:r>
      <w:r>
        <w:rPr>
          <w:rFonts w:hint="eastAsia" w:ascii="宋体" w:hAnsi="宋体" w:eastAsia="宋体" w:cs="仿宋"/>
          <w:bCs/>
          <w:color w:val="auto"/>
          <w:kern w:val="2"/>
          <w:sz w:val="32"/>
          <w:szCs w:val="32"/>
        </w:rPr>
        <w:t>促进预算绩效管理工作制度化、规范化、科学化，全面落实新增资产配置管理，严格按照中央八项规定精神，严格控制经费开支，切实贯彻落实厉行节约各项工作任务，进一步建立健全党风廉政建设责任制度、财务审核制度、加班用餐审批制度、公务接待管理制度、资产管理制度，公务用车管理制度、下乡日常巡查管护工作制度等，实现以制度管人，按制度办事，确保了机关日常运转制度化、规范化。通过加强预算收支管理，梳理内部管理流程，进一步增强支出责任和效率意识，提升预算绩效管理水平和能力，加快全过程预算绩效管理体系的建设。</w:t>
      </w:r>
    </w:p>
    <w:p>
      <w:pPr>
        <w:spacing w:line="600" w:lineRule="exact"/>
        <w:ind w:firstLine="420" w:firstLineChars="200"/>
        <w:rPr>
          <w:rFonts w:ascii="宋体" w:hAnsi="宋体" w:eastAsia="宋体" w:cs="宋体"/>
          <w:szCs w:val="30"/>
        </w:rPr>
      </w:pPr>
    </w:p>
    <w:p>
      <w:pPr>
        <w:pStyle w:val="12"/>
        <w:spacing w:line="560" w:lineRule="exact"/>
        <w:rPr>
          <w:rFonts w:ascii="宋体" w:hAnsi="宋体" w:eastAsia="宋体" w:cs="仿宋"/>
          <w:bCs/>
          <w:color w:val="auto"/>
          <w:kern w:val="2"/>
          <w:sz w:val="32"/>
          <w:szCs w:val="32"/>
        </w:rPr>
      </w:pPr>
      <w:r>
        <w:rPr>
          <w:rFonts w:hint="eastAsia" w:ascii="宋体" w:hAnsi="宋体" w:eastAsia="宋体" w:cs="仿宋"/>
          <w:bCs/>
          <w:color w:val="auto"/>
          <w:kern w:val="2"/>
          <w:sz w:val="32"/>
          <w:szCs w:val="32"/>
        </w:rPr>
        <w:t>五、存在的问题及原因分析</w:t>
      </w:r>
    </w:p>
    <w:p>
      <w:pPr>
        <w:pStyle w:val="12"/>
        <w:spacing w:line="560" w:lineRule="exact"/>
        <w:ind w:firstLine="480" w:firstLineChars="150"/>
        <w:rPr>
          <w:rFonts w:ascii="宋体" w:hAnsi="宋体" w:eastAsia="宋体" w:cs="仿宋"/>
          <w:bCs/>
          <w:color w:val="auto"/>
          <w:kern w:val="2"/>
          <w:sz w:val="32"/>
          <w:szCs w:val="32"/>
        </w:rPr>
      </w:pPr>
      <w:r>
        <w:rPr>
          <w:rFonts w:hint="eastAsia" w:ascii="宋体" w:hAnsi="宋体" w:eastAsia="宋体" w:cs="仿宋"/>
          <w:bCs/>
          <w:color w:val="auto"/>
          <w:kern w:val="2"/>
          <w:sz w:val="32"/>
          <w:szCs w:val="32"/>
        </w:rPr>
        <w:t>结合2021年绩效评价工作，我局尚存在对绩效评价工作认识不够深入和彻底的问题</w:t>
      </w:r>
    </w:p>
    <w:p>
      <w:pPr>
        <w:pStyle w:val="12"/>
        <w:numPr>
          <w:ilvl w:val="0"/>
          <w:numId w:val="2"/>
        </w:numPr>
        <w:spacing w:line="560" w:lineRule="exact"/>
        <w:rPr>
          <w:rFonts w:ascii="宋体" w:hAnsi="宋体" w:eastAsia="宋体" w:cs="仿宋"/>
          <w:bCs/>
          <w:color w:val="auto"/>
          <w:kern w:val="2"/>
          <w:sz w:val="32"/>
          <w:szCs w:val="32"/>
        </w:rPr>
      </w:pPr>
      <w:r>
        <w:rPr>
          <w:rFonts w:hint="eastAsia" w:ascii="宋体" w:hAnsi="宋体" w:eastAsia="宋体" w:cs="仿宋"/>
          <w:bCs/>
          <w:color w:val="auto"/>
          <w:kern w:val="2"/>
          <w:sz w:val="32"/>
          <w:szCs w:val="32"/>
        </w:rPr>
        <w:t>预算的编制工作有待细化，预算编制不够明确和细化，预算编制的合理性需要提高，预算的执行力度还要进一步加强。</w:t>
      </w:r>
    </w:p>
    <w:p>
      <w:pPr>
        <w:pStyle w:val="12"/>
        <w:numPr>
          <w:ilvl w:val="0"/>
          <w:numId w:val="2"/>
        </w:numPr>
        <w:spacing w:line="560" w:lineRule="exact"/>
        <w:rPr>
          <w:rFonts w:ascii="宋体" w:hAnsi="宋体" w:eastAsia="宋体" w:cs="仿宋"/>
          <w:bCs/>
          <w:color w:val="auto"/>
          <w:kern w:val="2"/>
          <w:sz w:val="32"/>
          <w:szCs w:val="32"/>
        </w:rPr>
      </w:pPr>
      <w:r>
        <w:rPr>
          <w:rFonts w:hint="eastAsia" w:ascii="宋体" w:hAnsi="宋体" w:eastAsia="宋体" w:cs="仿宋"/>
          <w:bCs/>
          <w:color w:val="auto"/>
          <w:kern w:val="2"/>
          <w:sz w:val="32"/>
          <w:szCs w:val="32"/>
        </w:rPr>
        <w:t>付款跟不上年度预算支出计划的进度，造成支付进度率指标评价总体较低。</w:t>
      </w:r>
    </w:p>
    <w:p/>
    <w:p>
      <w:pPr>
        <w:pStyle w:val="12"/>
        <w:spacing w:line="560" w:lineRule="exact"/>
        <w:ind w:left="320" w:firstLine="160" w:firstLineChars="50"/>
        <w:rPr>
          <w:rFonts w:ascii="宋体" w:hAnsi="宋体" w:eastAsia="宋体" w:cs="仿宋"/>
          <w:bCs/>
          <w:color w:val="auto"/>
          <w:kern w:val="2"/>
          <w:sz w:val="32"/>
          <w:szCs w:val="32"/>
        </w:rPr>
      </w:pPr>
      <w:r>
        <w:rPr>
          <w:rFonts w:hint="eastAsia" w:ascii="宋体" w:hAnsi="宋体" w:eastAsia="宋体" w:cs="仿宋"/>
          <w:bCs/>
          <w:color w:val="auto"/>
          <w:kern w:val="2"/>
          <w:sz w:val="32"/>
          <w:szCs w:val="32"/>
        </w:rPr>
        <w:t>针对存在的绩效问题，在下一步工作中，一是根据项目实施进展情况，科学做好年度预算编制工作，并在实施过程中督促加快支付进度；二是制订更为详细的年度预算支出计划，并督促按计划严格执行，确保各季度支出数达到相对均衡；三是对发现的问题及时和积极的沟通、汇报和整改，切实提高资金使用效益。加强资金的管理，严格按规定办理资金结算，确保专款专用。</w:t>
      </w:r>
    </w:p>
    <w:p>
      <w:pPr>
        <w:pStyle w:val="9"/>
        <w:ind w:left="420" w:firstLine="0" w:firstLineChars="0"/>
        <w:rPr>
          <w:sz w:val="32"/>
          <w:szCs w:val="32"/>
        </w:rPr>
      </w:pPr>
    </w:p>
    <w:p>
      <w:pPr>
        <w:pStyle w:val="9"/>
        <w:ind w:left="420" w:firstLine="3200" w:firstLineChars="1000"/>
        <w:rPr>
          <w:sz w:val="32"/>
          <w:szCs w:val="32"/>
        </w:rPr>
      </w:pPr>
    </w:p>
    <w:p>
      <w:pPr>
        <w:pStyle w:val="9"/>
        <w:ind w:left="420" w:firstLine="3200" w:firstLineChars="1000"/>
        <w:rPr>
          <w:sz w:val="32"/>
          <w:szCs w:val="32"/>
        </w:rPr>
      </w:pPr>
    </w:p>
    <w:p>
      <w:pPr>
        <w:pStyle w:val="9"/>
        <w:ind w:left="420" w:firstLine="3200" w:firstLineChars="1000"/>
        <w:rPr>
          <w:rFonts w:hint="eastAsia"/>
          <w:sz w:val="32"/>
          <w:szCs w:val="32"/>
        </w:rPr>
      </w:pPr>
    </w:p>
    <w:p>
      <w:pPr>
        <w:pStyle w:val="9"/>
        <w:ind w:left="420" w:firstLine="3200" w:firstLineChars="1000"/>
        <w:rPr>
          <w:rFonts w:hint="eastAsia"/>
          <w:sz w:val="32"/>
          <w:szCs w:val="32"/>
        </w:rPr>
      </w:pPr>
    </w:p>
    <w:p>
      <w:pPr>
        <w:pStyle w:val="9"/>
        <w:ind w:left="420" w:firstLine="3200" w:firstLineChars="1000"/>
        <w:rPr>
          <w:sz w:val="32"/>
          <w:szCs w:val="32"/>
        </w:rPr>
      </w:pPr>
      <w:r>
        <w:rPr>
          <w:rFonts w:hint="eastAsia"/>
          <w:sz w:val="32"/>
          <w:szCs w:val="32"/>
        </w:rPr>
        <w:t>常宁市大义山自然保护区管理局</w:t>
      </w:r>
    </w:p>
    <w:p>
      <w:pPr>
        <w:pStyle w:val="9"/>
        <w:ind w:left="420" w:firstLine="3200" w:firstLineChars="1000"/>
        <w:rPr>
          <w:sz w:val="32"/>
          <w:szCs w:val="32"/>
        </w:rPr>
      </w:pPr>
    </w:p>
    <w:p>
      <w:pPr>
        <w:pStyle w:val="6"/>
        <w:spacing w:after="0"/>
        <w:ind w:left="0" w:leftChars="0" w:firstLine="0"/>
        <w:jc w:val="both"/>
        <w:rPr>
          <w:rFonts w:ascii="仿宋_GB2312" w:hAnsi="仿宋_GB2312" w:eastAsia="仿宋_GB2312" w:cs="仿宋_GB2312"/>
          <w:sz w:val="10"/>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252AB"/>
    <w:multiLevelType w:val="multilevel"/>
    <w:tmpl w:val="212252AB"/>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AF03C4"/>
    <w:multiLevelType w:val="multilevel"/>
    <w:tmpl w:val="37AF03C4"/>
    <w:lvl w:ilvl="0" w:tentative="0">
      <w:start w:val="1"/>
      <w:numFmt w:val="decimal"/>
      <w:lvlText w:val="%1."/>
      <w:lvlJc w:val="left"/>
      <w:pPr>
        <w:ind w:left="965" w:hanging="645"/>
      </w:pPr>
      <w:rPr>
        <w:rFonts w:hint="default"/>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4ZDIwMDk4NTRhNDY1YTE0YmIxZTQ0Mjk5NmRiMjQifQ=="/>
  </w:docVars>
  <w:rsids>
    <w:rsidRoot w:val="004A6577"/>
    <w:rsid w:val="00013453"/>
    <w:rsid w:val="00077044"/>
    <w:rsid w:val="000A3ECD"/>
    <w:rsid w:val="000B6DC8"/>
    <w:rsid w:val="000B768B"/>
    <w:rsid w:val="000D0057"/>
    <w:rsid w:val="000F21E5"/>
    <w:rsid w:val="00100EAE"/>
    <w:rsid w:val="00166844"/>
    <w:rsid w:val="00190AEF"/>
    <w:rsid w:val="001C1A70"/>
    <w:rsid w:val="001D7370"/>
    <w:rsid w:val="0021205D"/>
    <w:rsid w:val="002179AF"/>
    <w:rsid w:val="00220FAC"/>
    <w:rsid w:val="00232C2E"/>
    <w:rsid w:val="00292796"/>
    <w:rsid w:val="00351B9E"/>
    <w:rsid w:val="003610CC"/>
    <w:rsid w:val="00393976"/>
    <w:rsid w:val="003D630C"/>
    <w:rsid w:val="003E1FF6"/>
    <w:rsid w:val="00447B26"/>
    <w:rsid w:val="004656F3"/>
    <w:rsid w:val="004872B4"/>
    <w:rsid w:val="004A638E"/>
    <w:rsid w:val="004A6577"/>
    <w:rsid w:val="004B3F9A"/>
    <w:rsid w:val="00517D8A"/>
    <w:rsid w:val="00537D61"/>
    <w:rsid w:val="005B3164"/>
    <w:rsid w:val="005F4665"/>
    <w:rsid w:val="00631B37"/>
    <w:rsid w:val="006707D9"/>
    <w:rsid w:val="00676CE0"/>
    <w:rsid w:val="006C7FBB"/>
    <w:rsid w:val="00705EB1"/>
    <w:rsid w:val="00755D50"/>
    <w:rsid w:val="007623EA"/>
    <w:rsid w:val="007D548C"/>
    <w:rsid w:val="007E0489"/>
    <w:rsid w:val="007E4905"/>
    <w:rsid w:val="007E6934"/>
    <w:rsid w:val="00802CED"/>
    <w:rsid w:val="00813D12"/>
    <w:rsid w:val="008275D4"/>
    <w:rsid w:val="00877FD6"/>
    <w:rsid w:val="00910514"/>
    <w:rsid w:val="009266D5"/>
    <w:rsid w:val="009525DD"/>
    <w:rsid w:val="009834DD"/>
    <w:rsid w:val="009B68BA"/>
    <w:rsid w:val="009E77E6"/>
    <w:rsid w:val="00A00E11"/>
    <w:rsid w:val="00A0711D"/>
    <w:rsid w:val="00A20211"/>
    <w:rsid w:val="00A219D2"/>
    <w:rsid w:val="00AC18BB"/>
    <w:rsid w:val="00AE7F96"/>
    <w:rsid w:val="00B52182"/>
    <w:rsid w:val="00B52F32"/>
    <w:rsid w:val="00B878A1"/>
    <w:rsid w:val="00BA731C"/>
    <w:rsid w:val="00C05D08"/>
    <w:rsid w:val="00C16C57"/>
    <w:rsid w:val="00C9114B"/>
    <w:rsid w:val="00CF756F"/>
    <w:rsid w:val="00D40B00"/>
    <w:rsid w:val="00D77FB4"/>
    <w:rsid w:val="00DA15E5"/>
    <w:rsid w:val="00E15648"/>
    <w:rsid w:val="00E164DF"/>
    <w:rsid w:val="00E21FD0"/>
    <w:rsid w:val="00E3656A"/>
    <w:rsid w:val="00E5773E"/>
    <w:rsid w:val="00E8630C"/>
    <w:rsid w:val="00EB40C6"/>
    <w:rsid w:val="00F05D41"/>
    <w:rsid w:val="00F640CA"/>
    <w:rsid w:val="00F67368"/>
    <w:rsid w:val="00FA14D1"/>
    <w:rsid w:val="00FE2CFB"/>
    <w:rsid w:val="273D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semiHidden/>
    <w:unhideWhenUsed/>
    <w:uiPriority w:val="99"/>
    <w:pPr>
      <w:spacing w:after="120"/>
      <w:ind w:left="420" w:leftChars="200"/>
    </w:p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2"/>
    <w:link w:val="17"/>
    <w:qFormat/>
    <w:uiPriority w:val="0"/>
    <w:pPr>
      <w:autoSpaceDE w:val="0"/>
      <w:autoSpaceDN w:val="0"/>
      <w:adjustRightInd w:val="0"/>
      <w:ind w:firstLine="420"/>
      <w:jc w:val="left"/>
    </w:pPr>
    <w:rPr>
      <w:rFonts w:ascii="Calibri" w:hAnsi="Calibri" w:eastAsia="宋体" w:cs="Times New Roman"/>
      <w:kern w:val="0"/>
    </w:rPr>
  </w:style>
  <w:style w:type="paragraph" w:styleId="9">
    <w:name w:val="List Paragraph"/>
    <w:basedOn w:val="1"/>
    <w:qFormat/>
    <w:uiPriority w:val="34"/>
    <w:pPr>
      <w:ind w:firstLine="420" w:firstLineChars="200"/>
    </w:pPr>
  </w:style>
  <w:style w:type="character" w:customStyle="1" w:styleId="10">
    <w:name w:val="页眉 Char"/>
    <w:basedOn w:val="8"/>
    <w:link w:val="4"/>
    <w:semiHidden/>
    <w:uiPriority w:val="99"/>
    <w:rPr>
      <w:sz w:val="18"/>
      <w:szCs w:val="18"/>
    </w:rPr>
  </w:style>
  <w:style w:type="character" w:customStyle="1" w:styleId="11">
    <w:name w:val="页脚 Char"/>
    <w:basedOn w:val="8"/>
    <w:link w:val="3"/>
    <w:semiHidden/>
    <w:uiPriority w:val="99"/>
    <w:rPr>
      <w:sz w:val="18"/>
      <w:szCs w:val="18"/>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3">
    <w:name w:val="15"/>
    <w:basedOn w:val="8"/>
    <w:qFormat/>
    <w:uiPriority w:val="0"/>
    <w:rPr>
      <w:rFonts w:hint="eastAsia" w:ascii="黑体" w:hAnsi="宋体" w:eastAsia="黑体"/>
      <w:color w:val="000000"/>
      <w:sz w:val="40"/>
      <w:szCs w:val="40"/>
    </w:rPr>
  </w:style>
  <w:style w:type="character" w:customStyle="1" w:styleId="14">
    <w:name w:val="font01"/>
    <w:basedOn w:val="8"/>
    <w:qFormat/>
    <w:uiPriority w:val="0"/>
    <w:rPr>
      <w:rFonts w:ascii="黑体" w:hAnsi="宋体" w:eastAsia="黑体" w:cs="黑体"/>
      <w:color w:val="000000"/>
      <w:sz w:val="40"/>
      <w:szCs w:val="40"/>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正文文本缩进 Char"/>
    <w:basedOn w:val="8"/>
    <w:link w:val="2"/>
    <w:semiHidden/>
    <w:uiPriority w:val="99"/>
  </w:style>
  <w:style w:type="character" w:customStyle="1" w:styleId="17">
    <w:name w:val="正文首行缩进 2 Char"/>
    <w:basedOn w:val="16"/>
    <w:link w:val="6"/>
    <w:uiPriority w:val="0"/>
    <w:rPr>
      <w:rFonts w:ascii="Calibri" w:hAnsi="Calibri" w:eastAsia="宋体"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4623</Words>
  <Characters>5079</Characters>
  <Lines>44</Lines>
  <Paragraphs>12</Paragraphs>
  <TotalTime>59</TotalTime>
  <ScaleCrop>false</ScaleCrop>
  <LinksUpToDate>false</LinksUpToDate>
  <CharactersWithSpaces>5816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2022-08-26T07:33:00Z</dcterms:created>
  <dc:creator>Administrator</dc:creator>
  <cp:lastModifiedBy>Administrator</cp:lastModifiedBy>
  <cp:lastPrinted>2021-06-25T02:35:00Z</cp:lastPrinted>
  <dcterms:modified xsi:type="dcterms:W3CDTF">2022-09-02T00:38:20Z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6EEFB260D9894BE79FFC358A5765C1F5</vt:lpwstr>
  </property>
</Properties>
</file>