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泉峰办事处20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sz w:val="44"/>
          <w:szCs w:val="44"/>
        </w:rPr>
        <w:t xml:space="preserve">年预算绩效评价报告     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0" w:firstLineChars="200"/>
        <w:jc w:val="both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2B2B2B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为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深入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贯彻落实《中共中央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国务院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关于全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面实施预算绩效管理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意见》（中发〔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2018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〕34号）精神，按照《中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共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湖南省委办公厅 湖南省人民政府办公厅关于全面实施预算绩效管理的实施意见》（湘办发〔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2019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〕10号）、《预算绩效管理工作考核办法》（湘财绩〔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2015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〕15号）等文件规定，结合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我办事处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实际情况，</w:t>
      </w:r>
      <w:r>
        <w:rPr>
          <w:rFonts w:hint="eastAsia" w:ascii="宋体" w:hAnsi="宋体"/>
          <w:b/>
          <w:sz w:val="30"/>
          <w:szCs w:val="30"/>
        </w:rPr>
        <w:t>遵循“科学规范、公正公开、分类管理、绩效相关”的原则，运用较科学、合理的绩效评价指标、评价标准和评价方法，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现将我单位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 xml:space="preserve">部门整体支出绩效评价情况报告如下：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02" w:firstLineChars="200"/>
        <w:jc w:val="both"/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基本情况</w:t>
      </w:r>
    </w:p>
    <w:p>
      <w:pPr>
        <w:pStyle w:val="2"/>
        <w:numPr>
          <w:ilvl w:val="0"/>
          <w:numId w:val="0"/>
        </w:numPr>
        <w:spacing w:after="0"/>
        <w:ind w:firstLine="602" w:firstLineChars="200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机构、人员构成</w:t>
      </w:r>
    </w:p>
    <w:p>
      <w:pPr>
        <w:pStyle w:val="2"/>
        <w:numPr>
          <w:ilvl w:val="0"/>
          <w:numId w:val="0"/>
        </w:numPr>
        <w:spacing w:after="0"/>
        <w:ind w:left="0" w:leftChars="0" w:firstLine="602" w:firstLineChars="200"/>
        <w:rPr>
          <w:rFonts w:ascii="宋体" w:hAnsi="宋体" w:cs="宋体"/>
          <w:b/>
          <w:color w:val="2B2B2B"/>
          <w:sz w:val="30"/>
          <w:szCs w:val="30"/>
        </w:rPr>
      </w:pPr>
      <w:r>
        <w:rPr>
          <w:rFonts w:hint="eastAsia" w:ascii="宋体" w:hAnsi="宋体" w:cs="宋体"/>
          <w:b/>
          <w:color w:val="2B2B2B"/>
          <w:sz w:val="30"/>
          <w:szCs w:val="30"/>
        </w:rPr>
        <w:t>泉峰办事处位于常宁市城区西南部，总面积</w:t>
      </w:r>
      <w:r>
        <w:rPr>
          <w:rFonts w:hint="eastAsia" w:ascii="宋体" w:hAnsi="宋体" w:cs="宋体"/>
          <w:b/>
          <w:color w:val="2B2B2B"/>
          <w:sz w:val="30"/>
          <w:szCs w:val="30"/>
          <w:lang w:eastAsia="zh-CN"/>
        </w:rPr>
        <w:t>约</w:t>
      </w:r>
      <w:r>
        <w:rPr>
          <w:rFonts w:hint="eastAsia" w:ascii="宋体" w:hAnsi="宋体" w:cs="宋体"/>
          <w:b/>
          <w:color w:val="2B2B2B"/>
          <w:sz w:val="30"/>
          <w:szCs w:val="30"/>
          <w:lang w:val="en-US" w:eastAsia="zh-CN"/>
        </w:rPr>
        <w:t>17</w:t>
      </w:r>
      <w:r>
        <w:rPr>
          <w:rFonts w:hint="eastAsia" w:ascii="宋体" w:hAnsi="宋体" w:cs="宋体"/>
          <w:b/>
          <w:color w:val="2B2B2B"/>
          <w:sz w:val="30"/>
          <w:szCs w:val="30"/>
        </w:rPr>
        <w:t>平方公里，</w:t>
      </w:r>
      <w:r>
        <w:rPr>
          <w:rFonts w:hint="eastAsia" w:ascii="宋体" w:hAnsi="宋体" w:cs="宋体"/>
          <w:b/>
          <w:sz w:val="30"/>
          <w:szCs w:val="30"/>
        </w:rPr>
        <w:t>办事处共有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sz w:val="30"/>
          <w:szCs w:val="30"/>
        </w:rPr>
        <w:t>个村，</w:t>
      </w:r>
      <w:r>
        <w:rPr>
          <w:rFonts w:hint="eastAsia" w:ascii="宋体" w:hAnsi="宋体" w:cs="宋体"/>
          <w:b/>
          <w:color w:val="2B2B2B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color w:val="2B2B2B"/>
          <w:sz w:val="30"/>
          <w:szCs w:val="30"/>
        </w:rPr>
        <w:t>个</w:t>
      </w:r>
      <w:r>
        <w:rPr>
          <w:rFonts w:hint="eastAsia" w:ascii="宋体" w:hAnsi="宋体" w:cs="宋体"/>
          <w:b/>
          <w:color w:val="2B2B2B"/>
          <w:sz w:val="30"/>
          <w:szCs w:val="30"/>
          <w:lang w:eastAsia="zh-CN"/>
        </w:rPr>
        <w:t>社区</w:t>
      </w:r>
      <w:r>
        <w:rPr>
          <w:rFonts w:hint="eastAsia" w:ascii="宋体" w:hAnsi="宋体" w:cs="宋体"/>
          <w:b/>
          <w:color w:val="2B2B2B"/>
          <w:sz w:val="30"/>
          <w:szCs w:val="30"/>
        </w:rPr>
        <w:t>，人口</w:t>
      </w:r>
      <w:r>
        <w:rPr>
          <w:rFonts w:hint="eastAsia" w:ascii="宋体" w:hAnsi="宋体" w:cs="宋体"/>
          <w:b/>
          <w:color w:val="2B2B2B"/>
          <w:sz w:val="30"/>
          <w:szCs w:val="30"/>
          <w:lang w:eastAsia="zh-CN"/>
        </w:rPr>
        <w:t>约</w:t>
      </w:r>
      <w:r>
        <w:rPr>
          <w:rFonts w:hint="eastAsia" w:ascii="宋体" w:hAnsi="宋体" w:cs="宋体"/>
          <w:b/>
          <w:color w:val="2B2B2B"/>
          <w:sz w:val="30"/>
          <w:szCs w:val="30"/>
          <w:lang w:val="en-US" w:eastAsia="zh-CN"/>
        </w:rPr>
        <w:t>6万</w:t>
      </w:r>
      <w:r>
        <w:rPr>
          <w:rFonts w:hint="eastAsia" w:ascii="宋体" w:hAnsi="宋体" w:cs="宋体"/>
          <w:b/>
          <w:color w:val="2B2B2B"/>
          <w:sz w:val="30"/>
          <w:szCs w:val="30"/>
        </w:rPr>
        <w:t>人</w:t>
      </w:r>
      <w:r>
        <w:rPr>
          <w:rFonts w:hint="eastAsia" w:ascii="宋体" w:hAnsi="宋体" w:cs="宋体"/>
          <w:b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宋体" w:hAnsi="宋体" w:cs="仿宋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/>
          <w:b/>
          <w:bCs w:val="0"/>
          <w:sz w:val="30"/>
          <w:szCs w:val="30"/>
        </w:rPr>
        <w:t xml:space="preserve"> </w:t>
      </w:r>
      <w:r>
        <w:rPr>
          <w:rFonts w:hint="eastAsia" w:ascii="宋体" w:hAnsi="宋体" w:cs="仿宋"/>
          <w:b/>
          <w:bCs w:val="0"/>
          <w:sz w:val="30"/>
          <w:szCs w:val="30"/>
          <w:lang w:eastAsia="zh-CN"/>
        </w:rPr>
        <w:t>泉峰街道办事处其</w:t>
      </w:r>
      <w:r>
        <w:rPr>
          <w:rFonts w:hint="eastAsia" w:ascii="宋体" w:hAnsi="宋体" w:cs="仿宋"/>
          <w:b/>
          <w:bCs w:val="0"/>
          <w:sz w:val="30"/>
          <w:szCs w:val="30"/>
        </w:rPr>
        <w:t>内设机构包括</w:t>
      </w:r>
      <w:r>
        <w:rPr>
          <w:rFonts w:hint="eastAsia" w:ascii="宋体" w:hAnsi="宋体" w:cs="仿宋"/>
          <w:b/>
          <w:bCs w:val="0"/>
          <w:sz w:val="30"/>
          <w:szCs w:val="30"/>
          <w:lang w:eastAsia="zh-CN"/>
        </w:rPr>
        <w:t>：党政综合办公室、经济发展办公室、社会事务办公室、自然资源和生态环境办公室、社会治安综合治理和应急管理办公室、基层党建工作办公室、社会事业综合服务中心、农业综合服务中心、政务服务中心。</w:t>
      </w:r>
    </w:p>
    <w:p>
      <w:pPr>
        <w:pStyle w:val="2"/>
        <w:rPr>
          <w:rFonts w:hint="default" w:ascii="宋体" w:hAnsi="宋体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仿宋"/>
          <w:b/>
          <w:bCs w:val="0"/>
          <w:sz w:val="30"/>
          <w:szCs w:val="30"/>
          <w:lang w:val="en-US" w:eastAsia="zh-CN"/>
        </w:rPr>
        <w:t>2021年年末，在职人员60人，离退休人员12人。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（二）</w:t>
      </w:r>
      <w:r>
        <w:rPr>
          <w:rFonts w:hint="eastAsia" w:ascii="宋体" w:hAnsi="宋体"/>
          <w:b/>
          <w:sz w:val="30"/>
          <w:szCs w:val="30"/>
        </w:rPr>
        <w:t>部门职责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6" w:leftChars="303" w:firstLine="0" w:firstLineChars="0"/>
        <w:jc w:val="both"/>
        <w:textAlignment w:val="auto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1、</w:t>
      </w:r>
      <w:r>
        <w:rPr>
          <w:rFonts w:ascii="宋体" w:hAnsi="宋体"/>
          <w:b/>
          <w:bCs/>
          <w:sz w:val="30"/>
          <w:szCs w:val="30"/>
        </w:rPr>
        <w:t>执行国家机关</w:t>
      </w:r>
      <w:r>
        <w:rPr>
          <w:rFonts w:hint="eastAsia" w:ascii="宋体" w:hAnsi="宋体"/>
          <w:b/>
          <w:bCs/>
          <w:sz w:val="30"/>
          <w:szCs w:val="30"/>
        </w:rPr>
        <w:t>和上级人民政府</w:t>
      </w:r>
      <w:r>
        <w:rPr>
          <w:rFonts w:ascii="宋体" w:hAnsi="宋体"/>
          <w:b/>
          <w:bCs/>
          <w:sz w:val="30"/>
          <w:szCs w:val="30"/>
        </w:rPr>
        <w:t>的决定和命令。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6" w:leftChars="303" w:firstLine="0" w:firstLineChars="0"/>
        <w:jc w:val="both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2、</w:t>
      </w:r>
      <w:r>
        <w:rPr>
          <w:rFonts w:ascii="宋体" w:hAnsi="宋体"/>
          <w:b/>
          <w:bCs/>
          <w:sz w:val="30"/>
          <w:szCs w:val="30"/>
        </w:rPr>
        <w:t>组织实施</w:t>
      </w:r>
      <w:r>
        <w:rPr>
          <w:rFonts w:hint="eastAsia" w:ascii="宋体" w:hAnsi="宋体"/>
          <w:b/>
          <w:bCs/>
          <w:sz w:val="30"/>
          <w:szCs w:val="30"/>
        </w:rPr>
        <w:t>办事处</w:t>
      </w:r>
      <w:r>
        <w:rPr>
          <w:rFonts w:ascii="宋体" w:hAnsi="宋体"/>
          <w:b/>
          <w:bCs/>
          <w:sz w:val="30"/>
          <w:szCs w:val="30"/>
        </w:rPr>
        <w:t>内的经济和社会发展</w:t>
      </w:r>
      <w:r>
        <w:rPr>
          <w:rFonts w:hint="eastAsia" w:ascii="宋体" w:hAnsi="宋体"/>
          <w:b/>
          <w:bCs/>
          <w:sz w:val="30"/>
          <w:szCs w:val="3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0" w:firstLineChars="0"/>
        <w:jc w:val="both"/>
        <w:textAlignment w:val="auto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3、</w:t>
      </w:r>
      <w:r>
        <w:rPr>
          <w:rFonts w:ascii="宋体" w:hAnsi="宋体"/>
          <w:b/>
          <w:bCs/>
          <w:sz w:val="30"/>
          <w:szCs w:val="30"/>
        </w:rPr>
        <w:t>负责管理好各职能部门，充分发挥他们的职能作用。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0" w:firstLineChars="0"/>
        <w:jc w:val="both"/>
        <w:textAlignment w:val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4、</w:t>
      </w:r>
      <w:r>
        <w:rPr>
          <w:rFonts w:ascii="宋体" w:hAnsi="宋体"/>
          <w:b/>
          <w:bCs/>
          <w:sz w:val="30"/>
          <w:szCs w:val="30"/>
        </w:rPr>
        <w:t>负责保护公有财产不受侵占，维护社会秩序，保障公民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02" w:leftChars="0" w:hanging="602" w:hangingChars="200"/>
        <w:jc w:val="both"/>
        <w:textAlignment w:val="auto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ascii="宋体" w:hAnsi="宋体"/>
          <w:b/>
          <w:bCs/>
          <w:sz w:val="30"/>
          <w:szCs w:val="30"/>
        </w:rPr>
        <w:t>的人身权利和合法权益。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02" w:leftChars="0" w:hanging="602" w:hangingChars="200"/>
        <w:jc w:val="both"/>
        <w:textAlignment w:val="auto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5、</w:t>
      </w:r>
      <w:r>
        <w:rPr>
          <w:rFonts w:ascii="宋体" w:hAnsi="宋体"/>
          <w:b/>
          <w:bCs/>
          <w:sz w:val="30"/>
          <w:szCs w:val="30"/>
        </w:rPr>
        <w:t>加大科技、教育、文化、卫生等事业的发展力度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both"/>
        <w:textAlignment w:val="auto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承办并完成上级人民政府交办的其他工作。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60" w:lineRule="atLeast"/>
        <w:ind w:firstLine="627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</w:rPr>
        <w:t>二、部门整体支出情况</w:t>
      </w:r>
    </w:p>
    <w:p>
      <w:pPr>
        <w:widowControl/>
        <w:shd w:val="clear" w:color="auto" w:fill="FFFFFF"/>
        <w:spacing w:line="560" w:lineRule="atLeast"/>
        <w:ind w:firstLine="627"/>
        <w:jc w:val="left"/>
        <w:rPr>
          <w:rFonts w:ascii="宋体" w:hAnsi="宋体" w:cs="宋体"/>
          <w:b/>
          <w:color w:val="3D3D3D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（一）20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年度收入总计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1018.89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万元，其中一般公共预算财政拨款收入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1017.89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万元，政府性基金收入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万元。支出总计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1018.89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，其中基本支出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629.2万元，项目支出389.68万元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。</w:t>
      </w:r>
    </w:p>
    <w:p>
      <w:pPr>
        <w:spacing w:line="240" w:lineRule="auto"/>
        <w:ind w:left="0" w:leftChars="0"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（二）20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年度财政拨款支出情况</w:t>
      </w:r>
    </w:p>
    <w:p>
      <w:pPr>
        <w:spacing w:line="240" w:lineRule="auto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年度，我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部门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本年支出合计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018.89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万元，其中：基本支出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29.2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万元，项目支出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89.68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万元。</w:t>
      </w:r>
    </w:p>
    <w:p>
      <w:pPr>
        <w:numPr>
          <w:ilvl w:val="0"/>
          <w:numId w:val="2"/>
        </w:numPr>
        <w:spacing w:line="600" w:lineRule="exact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基本支出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629.2万元</w:t>
      </w:r>
    </w:p>
    <w:p>
      <w:pPr>
        <w:numPr>
          <w:ilvl w:val="0"/>
          <w:numId w:val="0"/>
        </w:numPr>
        <w:spacing w:line="600" w:lineRule="exact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人员经费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48.67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万元，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公用经费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0.53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万元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。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主要用于工资福利支出、对个人和家庭的补助及办事处机关运行经费。</w:t>
      </w:r>
    </w:p>
    <w:p>
      <w:pPr>
        <w:numPr>
          <w:ilvl w:val="0"/>
          <w:numId w:val="2"/>
        </w:numPr>
        <w:spacing w:line="600" w:lineRule="exact"/>
        <w:ind w:left="0" w:leftChars="0"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项目支出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389.68万元</w:t>
      </w:r>
    </w:p>
    <w:p>
      <w:pPr>
        <w:spacing w:line="240" w:lineRule="auto"/>
        <w:ind w:left="0" w:leftChars="0"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3D3D3D"/>
          <w:kern w:val="0"/>
          <w:sz w:val="30"/>
          <w:szCs w:val="30"/>
          <w:lang w:eastAsia="zh-CN"/>
        </w:rPr>
        <w:t>项目支出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389.68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万元。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主要用于非基建项目的工资支出、办公费、劳务费、维护（修）费、会议费、接待费、专用材料费等。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0" w:leftChars="0" w:firstLine="602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 xml:space="preserve">整体支出使用范围、方向和内容    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0" w:leftChars="0" w:firstLine="602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1、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部门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整体支出的使用范围、方向和内容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53" w:firstLineChars="250"/>
        <w:textAlignment w:val="auto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20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年度财政拨款支出决算</w:t>
      </w:r>
      <w:r>
        <w:rPr>
          <w:rFonts w:hint="eastAsia" w:ascii="宋体" w:hAnsi="宋体" w:cs="宋体"/>
          <w:b/>
          <w:bCs w:val="0"/>
          <w:color w:val="000000"/>
          <w:sz w:val="30"/>
          <w:szCs w:val="30"/>
          <w:lang w:val="en-US" w:eastAsia="zh-CN"/>
        </w:rPr>
        <w:t>1018.89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万元，其中：</w:t>
      </w:r>
      <w:r>
        <w:rPr>
          <w:rFonts w:hint="eastAsia" w:ascii="宋体" w:hAnsi="宋体" w:eastAsia="宋体" w:cs="仿宋"/>
          <w:b/>
          <w:bCs w:val="0"/>
          <w:color w:val="auto"/>
          <w:kern w:val="2"/>
          <w:sz w:val="30"/>
          <w:szCs w:val="30"/>
          <w:lang w:val="en-US" w:eastAsia="zh-CN" w:bidi="ar-SA"/>
        </w:rPr>
        <w:t>一般公共服务（类）支出598.52万元；文化旅游体育与传媒支出（类）1万元；社会保障和就业（类）支出236.6万元；卫生健康（类）支出30.62万元；城乡社区（类）支出19万元；农林水(类）支出94.5万元；住房保障（类）支出37.66万元；其他支出1万元。其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资金到位率100%，资金使用率100%，管理制度健全规范，固定资产有专人管理，职工满意度达100%。</w:t>
      </w:r>
    </w:p>
    <w:p>
      <w:pPr>
        <w:widowControl/>
        <w:shd w:val="clear" w:color="auto" w:fill="FFFFFF"/>
        <w:spacing w:line="600" w:lineRule="exact"/>
        <w:ind w:firstLine="602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2、预算执行方面。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决算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支出总额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超年初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预算，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为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本年部门预算进行预算相关事项的调整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eastAsia="zh-CN"/>
        </w:rPr>
        <w:t>，预算追加。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3、预</w:t>
      </w:r>
      <w:r>
        <w:rPr>
          <w:rFonts w:hint="eastAsia" w:ascii="宋体" w:hAnsi="宋体" w:eastAsia="宋体" w:cs="宋体"/>
          <w:b/>
          <w:bCs w:val="0"/>
          <w:color w:val="000000"/>
          <w:spacing w:val="-12"/>
          <w:kern w:val="0"/>
          <w:sz w:val="30"/>
          <w:szCs w:val="30"/>
        </w:rPr>
        <w:t>算管理方面，制度执行总体较为有效，仍需进一步强化。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4、资产管理方面，建立了资产管理制度，定期进行了盘点和资产清理，总体执行较好。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  <w:lang w:eastAsia="zh-CN"/>
        </w:rPr>
        <w:t>四</w:t>
      </w:r>
      <w:r>
        <w:rPr>
          <w:rFonts w:hint="eastAsia" w:ascii="宋体" w:hAnsi="宋体"/>
          <w:b/>
          <w:sz w:val="30"/>
          <w:szCs w:val="30"/>
        </w:rPr>
        <w:t>、绩效评价工作情况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（一）绩效评价目的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本次自评的目的是了解本部门20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ind w:firstLine="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（二）绩效评价实施过程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本单位制定了部门支出绩效评价的工作方案、评价指标，成立了绩效评价工作领导小组、绩效评价工作组，绩效评价工作主要如下：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1、核实数据</w:t>
      </w:r>
      <w:r>
        <w:rPr>
          <w:rFonts w:hint="eastAsia" w:ascii="宋体" w:hAnsi="宋体"/>
          <w:b/>
          <w:sz w:val="30"/>
          <w:szCs w:val="30"/>
          <w:lang w:eastAsia="zh-CN"/>
        </w:rPr>
        <w:t>。</w:t>
      </w:r>
      <w:r>
        <w:rPr>
          <w:rFonts w:hint="eastAsia" w:ascii="宋体" w:hAnsi="宋体"/>
          <w:b/>
          <w:sz w:val="30"/>
          <w:szCs w:val="30"/>
        </w:rPr>
        <w:t>对20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年度部门支出数据的准确性、真实性进行核实。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2、查阅资料。查阅20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年度预算安排、预算追加、资金管理、经费支出、资产管理等相关文件资料和财务凭证。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3、归纳汇总。对收集的评价材料结合本单位情况进行综合分析、归纳汇总。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4、根据评价材料结合各项评价指标进行分析评</w:t>
      </w:r>
      <w:r>
        <w:rPr>
          <w:rFonts w:hint="eastAsia" w:ascii="宋体" w:hAnsi="宋体"/>
          <w:b/>
          <w:sz w:val="30"/>
          <w:szCs w:val="30"/>
          <w:lang w:eastAsia="zh-CN"/>
        </w:rPr>
        <w:t>价</w:t>
      </w:r>
      <w:r>
        <w:rPr>
          <w:rFonts w:hint="eastAsia" w:ascii="宋体" w:hAnsi="宋体"/>
          <w:b/>
          <w:sz w:val="30"/>
          <w:szCs w:val="30"/>
        </w:rPr>
        <w:t>。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（三）评价结论</w:t>
      </w:r>
    </w:p>
    <w:p>
      <w:pPr>
        <w:ind w:firstLine="42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年，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泉峰</w:t>
      </w:r>
      <w:r>
        <w:rPr>
          <w:rFonts w:hint="eastAsia" w:ascii="宋体" w:hAnsi="宋体"/>
          <w:b/>
          <w:sz w:val="30"/>
          <w:szCs w:val="30"/>
        </w:rPr>
        <w:t>办事处及时、准确、优质地完成预算编制；预算执行情况良好，支出管理规范，未出现因违规支出受到相关监督部门批评或处理的情况；资金管理制度较为完善，会计核算和账务处理规范，会计资料完整；工作中密切联系群众、服务群众，积极妥善处理群众来信来访，化解社会矛盾，加强机关自身建设和党风廉政建设。</w:t>
      </w:r>
    </w:p>
    <w:p>
      <w:pPr>
        <w:ind w:firstLine="420"/>
        <w:rPr>
          <w:rFonts w:ascii="宋体" w:hAnsi="宋体"/>
          <w:b/>
          <w:sz w:val="30"/>
          <w:szCs w:val="30"/>
        </w:rPr>
      </w:pPr>
    </w:p>
    <w:p>
      <w:pPr>
        <w:widowControl/>
        <w:spacing w:line="240" w:lineRule="auto"/>
        <w:ind w:right="0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常宁市泉峰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街道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办事处</w:t>
      </w:r>
    </w:p>
    <w:p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 xml:space="preserve">     </w:t>
      </w:r>
      <w:bookmarkStart w:id="0" w:name="_GoBack"/>
      <w:bookmarkEnd w:id="0"/>
    </w:p>
    <w:p>
      <w:pPr>
        <w:ind w:left="420"/>
        <w:rPr>
          <w:b/>
          <w:sz w:val="30"/>
          <w:szCs w:val="30"/>
        </w:rPr>
      </w:pPr>
    </w:p>
    <w:p>
      <w:pPr>
        <w:ind w:left="420"/>
      </w:pPr>
    </w:p>
    <w:p>
      <w:pPr>
        <w:ind w:firstLine="42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45C4B"/>
    <w:multiLevelType w:val="singleLevel"/>
    <w:tmpl w:val="97745C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FEFF32"/>
    <w:multiLevelType w:val="singleLevel"/>
    <w:tmpl w:val="6CFEFF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3ZTlkYzViNTI1MDhjNTQ1YWE1MjUwZTExYzdlMmUifQ=="/>
  </w:docVars>
  <w:rsids>
    <w:rsidRoot w:val="007910D0"/>
    <w:rsid w:val="00003B60"/>
    <w:rsid w:val="000373AB"/>
    <w:rsid w:val="00095E23"/>
    <w:rsid w:val="000D00C0"/>
    <w:rsid w:val="00113C73"/>
    <w:rsid w:val="00117F3C"/>
    <w:rsid w:val="0019183D"/>
    <w:rsid w:val="00244738"/>
    <w:rsid w:val="0024528B"/>
    <w:rsid w:val="00246F8C"/>
    <w:rsid w:val="002F5A70"/>
    <w:rsid w:val="0039571D"/>
    <w:rsid w:val="0041514E"/>
    <w:rsid w:val="00423D6C"/>
    <w:rsid w:val="00443C5D"/>
    <w:rsid w:val="004573BA"/>
    <w:rsid w:val="00463066"/>
    <w:rsid w:val="00474F4B"/>
    <w:rsid w:val="00493C02"/>
    <w:rsid w:val="0052751B"/>
    <w:rsid w:val="005D176A"/>
    <w:rsid w:val="005D2E50"/>
    <w:rsid w:val="005E74F3"/>
    <w:rsid w:val="00600BE8"/>
    <w:rsid w:val="006447C9"/>
    <w:rsid w:val="00660AAB"/>
    <w:rsid w:val="006A40CA"/>
    <w:rsid w:val="006C7FC5"/>
    <w:rsid w:val="007165DD"/>
    <w:rsid w:val="00731E61"/>
    <w:rsid w:val="00734131"/>
    <w:rsid w:val="00746A32"/>
    <w:rsid w:val="00754471"/>
    <w:rsid w:val="007765FB"/>
    <w:rsid w:val="007910D0"/>
    <w:rsid w:val="007A2242"/>
    <w:rsid w:val="0080201E"/>
    <w:rsid w:val="00803265"/>
    <w:rsid w:val="00811D5E"/>
    <w:rsid w:val="00816863"/>
    <w:rsid w:val="00861CBA"/>
    <w:rsid w:val="0086428E"/>
    <w:rsid w:val="00876DBD"/>
    <w:rsid w:val="008836DF"/>
    <w:rsid w:val="008B3DA9"/>
    <w:rsid w:val="00902F86"/>
    <w:rsid w:val="00906A6D"/>
    <w:rsid w:val="0091257F"/>
    <w:rsid w:val="00953CAF"/>
    <w:rsid w:val="00977A36"/>
    <w:rsid w:val="009A0A4D"/>
    <w:rsid w:val="009B18FC"/>
    <w:rsid w:val="009D13B6"/>
    <w:rsid w:val="009F3B49"/>
    <w:rsid w:val="00A07BA2"/>
    <w:rsid w:val="00A3524F"/>
    <w:rsid w:val="00A811F6"/>
    <w:rsid w:val="00A94D22"/>
    <w:rsid w:val="00AB0C50"/>
    <w:rsid w:val="00AB60C0"/>
    <w:rsid w:val="00AD092B"/>
    <w:rsid w:val="00AD7063"/>
    <w:rsid w:val="00AE3081"/>
    <w:rsid w:val="00AE36E1"/>
    <w:rsid w:val="00B157F5"/>
    <w:rsid w:val="00B16EF7"/>
    <w:rsid w:val="00B41B4F"/>
    <w:rsid w:val="00B47C36"/>
    <w:rsid w:val="00B73C9D"/>
    <w:rsid w:val="00B91B28"/>
    <w:rsid w:val="00B93AD8"/>
    <w:rsid w:val="00BD6B4B"/>
    <w:rsid w:val="00C35F88"/>
    <w:rsid w:val="00C82328"/>
    <w:rsid w:val="00C87B6E"/>
    <w:rsid w:val="00CE443E"/>
    <w:rsid w:val="00D17F82"/>
    <w:rsid w:val="00D410D0"/>
    <w:rsid w:val="00D43E50"/>
    <w:rsid w:val="00D43F2E"/>
    <w:rsid w:val="00D517E5"/>
    <w:rsid w:val="00D5359A"/>
    <w:rsid w:val="00D55F61"/>
    <w:rsid w:val="00D70F0C"/>
    <w:rsid w:val="00DF1A1C"/>
    <w:rsid w:val="00E03704"/>
    <w:rsid w:val="00E10F57"/>
    <w:rsid w:val="00E57844"/>
    <w:rsid w:val="00E91754"/>
    <w:rsid w:val="00E92B98"/>
    <w:rsid w:val="00EF40D2"/>
    <w:rsid w:val="00F24003"/>
    <w:rsid w:val="00F277BC"/>
    <w:rsid w:val="00F27863"/>
    <w:rsid w:val="00F463A1"/>
    <w:rsid w:val="00F650F3"/>
    <w:rsid w:val="01851395"/>
    <w:rsid w:val="06133FFE"/>
    <w:rsid w:val="08EA1ADE"/>
    <w:rsid w:val="09AC4A2D"/>
    <w:rsid w:val="0B551224"/>
    <w:rsid w:val="128745C7"/>
    <w:rsid w:val="1BF341DD"/>
    <w:rsid w:val="1D6F0898"/>
    <w:rsid w:val="260F335A"/>
    <w:rsid w:val="26E21C72"/>
    <w:rsid w:val="28073E9A"/>
    <w:rsid w:val="2B27520A"/>
    <w:rsid w:val="2C8E7C26"/>
    <w:rsid w:val="2E954DE4"/>
    <w:rsid w:val="2EC36CC3"/>
    <w:rsid w:val="2ED53471"/>
    <w:rsid w:val="316C3BE5"/>
    <w:rsid w:val="32894B84"/>
    <w:rsid w:val="33CE501E"/>
    <w:rsid w:val="35255406"/>
    <w:rsid w:val="36C73AC0"/>
    <w:rsid w:val="3ED400B2"/>
    <w:rsid w:val="3F8E5358"/>
    <w:rsid w:val="43A76D86"/>
    <w:rsid w:val="44D41ED0"/>
    <w:rsid w:val="476D3BEB"/>
    <w:rsid w:val="49F02496"/>
    <w:rsid w:val="4BE934D6"/>
    <w:rsid w:val="4D476829"/>
    <w:rsid w:val="4E9C76F2"/>
    <w:rsid w:val="51184C82"/>
    <w:rsid w:val="53D20CBD"/>
    <w:rsid w:val="544459F3"/>
    <w:rsid w:val="57570EB0"/>
    <w:rsid w:val="5C696334"/>
    <w:rsid w:val="5F822E48"/>
    <w:rsid w:val="62BA14DD"/>
    <w:rsid w:val="63032E48"/>
    <w:rsid w:val="68A607E5"/>
    <w:rsid w:val="692A798E"/>
    <w:rsid w:val="69B022B7"/>
    <w:rsid w:val="6D6818F9"/>
    <w:rsid w:val="6D6A6162"/>
    <w:rsid w:val="6EE50A94"/>
    <w:rsid w:val="776526A8"/>
    <w:rsid w:val="793A21F9"/>
    <w:rsid w:val="7B1F0A20"/>
    <w:rsid w:val="7B28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ind w:left="420" w:firstLine="420"/>
      <w:jc w:val="left"/>
    </w:pPr>
    <w:rPr>
      <w:rFonts w:ascii="Calibri" w:hAnsi="Calibri"/>
      <w:kern w:val="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1635</Words>
  <Characters>1788</Characters>
  <Lines>22</Lines>
  <Paragraphs>6</Paragraphs>
  <TotalTime>7</TotalTime>
  <ScaleCrop>false</ScaleCrop>
  <LinksUpToDate>false</LinksUpToDate>
  <CharactersWithSpaces>1877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Administrator</cp:lastModifiedBy>
  <cp:lastPrinted>2019-06-29T11:52:00Z</cp:lastPrinted>
  <dcterms:modified xsi:type="dcterms:W3CDTF">2022-08-31T03:30:14Z</dcterms:modified>
  <dc:title>兰江乡人民政府2016年预算支出绩效评价报     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AE250C1147954E0F8A594E24C3425856</vt:lpwstr>
  </property>
</Properties>
</file>