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44"/>
          <w:szCs w:val="44"/>
        </w:rPr>
      </w:pPr>
      <w:bookmarkStart w:id="0" w:name="_GoBack"/>
      <w:r>
        <w:rPr>
          <w:rFonts w:hint="eastAsia" w:ascii="黑体" w:hAnsi="黑体" w:eastAsia="黑体"/>
          <w:b/>
          <w:bCs/>
          <w:sz w:val="44"/>
          <w:szCs w:val="44"/>
        </w:rPr>
        <w:t>常宁市人大办公室</w:t>
      </w:r>
    </w:p>
    <w:p>
      <w:pPr>
        <w:jc w:val="center"/>
        <w:rPr>
          <w:rFonts w:ascii="黑体" w:hAnsi="黑体" w:eastAsia="黑体"/>
          <w:b/>
          <w:bCs/>
          <w:sz w:val="44"/>
          <w:szCs w:val="44"/>
        </w:rPr>
      </w:pPr>
      <w:r>
        <w:rPr>
          <w:rFonts w:hint="eastAsia" w:ascii="黑体" w:hAnsi="黑体" w:eastAsia="黑体"/>
          <w:b/>
          <w:bCs/>
          <w:sz w:val="44"/>
          <w:szCs w:val="44"/>
          <w:lang w:eastAsia="zh-CN"/>
        </w:rPr>
        <w:t>2020</w:t>
      </w:r>
      <w:r>
        <w:rPr>
          <w:rFonts w:hint="eastAsia" w:ascii="黑体" w:hAnsi="黑体" w:eastAsia="黑体"/>
          <w:b/>
          <w:bCs/>
          <w:sz w:val="44"/>
          <w:szCs w:val="44"/>
        </w:rPr>
        <w:t>年度</w:t>
      </w:r>
      <w:r>
        <w:rPr>
          <w:rFonts w:hint="eastAsia" w:ascii="黑体" w:hAnsi="黑体" w:eastAsia="黑体"/>
          <w:b/>
          <w:bCs/>
          <w:sz w:val="44"/>
          <w:szCs w:val="44"/>
          <w:lang w:val="en-US" w:eastAsia="zh-CN"/>
        </w:rPr>
        <w:t>财政</w:t>
      </w:r>
      <w:r>
        <w:rPr>
          <w:rFonts w:hint="eastAsia" w:ascii="黑体" w:hAnsi="黑体" w:eastAsia="黑体"/>
          <w:b/>
          <w:bCs/>
          <w:sz w:val="44"/>
          <w:szCs w:val="44"/>
        </w:rPr>
        <w:t>支出绩效自评报告</w:t>
      </w:r>
    </w:p>
    <w:bookmarkEnd w:id="0"/>
    <w:p>
      <w:pPr>
        <w:spacing w:line="600" w:lineRule="exact"/>
        <w:ind w:firstLine="560" w:firstLineChars="200"/>
        <w:rPr>
          <w:rFonts w:ascii="仿宋" w:hAnsi="仿宋" w:eastAsia="仿宋"/>
          <w:b/>
          <w:bCs/>
          <w:sz w:val="32"/>
          <w:szCs w:val="32"/>
        </w:rPr>
      </w:pPr>
      <w:r>
        <w:rPr>
          <w:rFonts w:hint="eastAsia" w:ascii="仿宋" w:hAnsi="仿宋" w:eastAsia="仿宋" w:cs="宋体"/>
          <w:sz w:val="28"/>
          <w:szCs w:val="28"/>
        </w:rPr>
        <w:t>为规范财务收支，强化机关财务管理和加强内部控制，提高资金使用效益，保证机关各项工作正常运转。按照《会计法》等相关法律法规，根据中央、省、市有关规定，结合本单位实际，遵循“科学规范、公正公开、分类管理、绩效相关”的原则，对本单位的部门预算整体支出进行了绩效评价，本次评价运用较科学、合理的绩效评价指标、评价标准和评价方法对</w:t>
      </w:r>
      <w:r>
        <w:rPr>
          <w:rFonts w:hint="eastAsia" w:ascii="仿宋" w:hAnsi="仿宋" w:eastAsia="仿宋" w:cs="宋体"/>
          <w:sz w:val="28"/>
          <w:szCs w:val="28"/>
          <w:lang w:eastAsia="zh-CN"/>
        </w:rPr>
        <w:t>2020</w:t>
      </w:r>
      <w:r>
        <w:rPr>
          <w:rFonts w:hint="eastAsia" w:ascii="仿宋" w:hAnsi="仿宋" w:eastAsia="仿宋" w:cs="宋体"/>
          <w:sz w:val="28"/>
          <w:szCs w:val="28"/>
        </w:rPr>
        <w:t>年度部门支出的绩效情况进行了客观、公正的评价。现将情况汇报如下：</w:t>
      </w:r>
    </w:p>
    <w:p>
      <w:pPr>
        <w:rPr>
          <w:rFonts w:ascii="黑体" w:eastAsia="黑体"/>
          <w:b/>
          <w:bCs/>
          <w:sz w:val="32"/>
          <w:szCs w:val="32"/>
        </w:rPr>
      </w:pPr>
      <w:r>
        <w:rPr>
          <w:rFonts w:hint="eastAsia" w:ascii="黑体" w:eastAsia="黑体"/>
          <w:b/>
          <w:bCs/>
          <w:sz w:val="32"/>
          <w:szCs w:val="32"/>
        </w:rPr>
        <w:t>一、基本情况</w:t>
      </w:r>
    </w:p>
    <w:p>
      <w:pPr>
        <w:pStyle w:val="7"/>
        <w:tabs>
          <w:tab w:val="left" w:pos="420"/>
        </w:tabs>
        <w:spacing w:beforeAutospacing="0" w:afterAutospacing="0" w:line="360" w:lineRule="auto"/>
        <w:ind w:firstLine="562" w:firstLineChars="200"/>
        <w:rPr>
          <w:b/>
          <w:bCs/>
          <w:sz w:val="28"/>
          <w:szCs w:val="28"/>
        </w:rPr>
      </w:pPr>
      <w:r>
        <w:rPr>
          <w:rFonts w:hint="eastAsia"/>
          <w:b/>
          <w:bCs/>
          <w:sz w:val="28"/>
          <w:szCs w:val="28"/>
        </w:rPr>
        <w:t>（一）职能职责</w:t>
      </w:r>
    </w:p>
    <w:p>
      <w:pPr>
        <w:pStyle w:val="7"/>
        <w:spacing w:beforeAutospacing="0" w:afterAutospacing="0"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讨论、决定重大事项。主要是包括审议和批准常宁市国民经济和社会发展计划、预算以及它们执行情况的报告；讨论、决定全市的政治、经济、教育、文化、卫生、环境和资源保护、民政、民政等重大事项；根据市人民政府的建议，决定对市国民经济和社会发展计划、预算的部分变更等。</w:t>
      </w:r>
    </w:p>
    <w:p>
      <w:pPr>
        <w:pStyle w:val="7"/>
        <w:spacing w:beforeAutospacing="0" w:afterAutospacing="0"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监督“一府一委两院”工作。主要是对市人民政府、市监察委员会、市人民法院、市人民检察院进行工作监督和法律监督，通过听取和审议专项工作报告，组织执法检查，审查备案规范性文件，提出询问，提出质询案，组织特定问题调查委员会，受理公民的申诉、控告和检举等，促进依法行政、公正司法。</w:t>
      </w:r>
    </w:p>
    <w:p>
      <w:pPr>
        <w:pStyle w:val="7"/>
        <w:spacing w:beforeAutospacing="0" w:afterAutospacing="0"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选举任免国家机关工作人员。主要是依法对国家机关领导人员及其组成人员进行选举、任命、罢免、免职、撤职等，采取选举、补选、决定代理、决定任免、任免、推选代理、通过人选、罢免、接受辞职、决定撤消、相应撤消、相应终止等形式，决定其他国家机构的组成。</w:t>
      </w:r>
    </w:p>
    <w:p>
      <w:pPr>
        <w:pStyle w:val="7"/>
        <w:spacing w:beforeAutospacing="0" w:afterAutospacing="0" w:line="360" w:lineRule="auto"/>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做好代表工作。主要是组织和指导市乡两级人大代表换届选举工作，开展人大代表培训，督办人大议案和代表建议、批评和意见，规范代表活动室建设，组织人大代表开展履职活动，加强代表履职管理和服务，强化与人大代表的日常沟通和联系等。</w:t>
      </w:r>
    </w:p>
    <w:p>
      <w:pPr>
        <w:pStyle w:val="7"/>
        <w:spacing w:beforeAutospacing="0" w:afterAutospacing="0" w:line="360" w:lineRule="auto"/>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、联系指导基层人大工作。主要是加强对乡镇、街道人大工作的联系和指导，通过业务培训、法律监督、调研检查、考核评比等方式，督促基层加强自身建设，依法履职，提升全市基层人大工作整体水平。</w:t>
      </w:r>
    </w:p>
    <w:p>
      <w:pPr>
        <w:pStyle w:val="7"/>
        <w:tabs>
          <w:tab w:val="left" w:pos="420"/>
        </w:tabs>
        <w:spacing w:beforeAutospacing="0" w:afterAutospacing="0" w:line="360" w:lineRule="auto"/>
        <w:ind w:firstLine="562" w:firstLineChars="200"/>
        <w:rPr>
          <w:b/>
          <w:bCs/>
          <w:sz w:val="28"/>
          <w:szCs w:val="28"/>
        </w:rPr>
      </w:pPr>
      <w:r>
        <w:rPr>
          <w:rFonts w:hint="eastAsia"/>
          <w:b/>
          <w:bCs/>
          <w:sz w:val="28"/>
          <w:szCs w:val="28"/>
        </w:rPr>
        <w:t>（二）部门单位构成</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rPr>
        <w:t>根据编委核定，常宁市人民代表大会内设委室</w:t>
      </w:r>
      <w:r>
        <w:rPr>
          <w:rFonts w:ascii="仿宋" w:hAnsi="仿宋" w:eastAsia="仿宋"/>
          <w:sz w:val="28"/>
          <w:szCs w:val="28"/>
        </w:rPr>
        <w:t>9</w:t>
      </w:r>
      <w:r>
        <w:rPr>
          <w:rFonts w:hint="eastAsia" w:ascii="仿宋" w:hAnsi="仿宋" w:eastAsia="仿宋"/>
          <w:sz w:val="28"/>
          <w:szCs w:val="28"/>
        </w:rPr>
        <w:t>个，分别是：常宁市人民代表大会常务委员会（设：办公室、联工委）、财政经济委员会、监察与司法委员会、教育科学文化卫生委员会、农业农村委员会、民族华侨外事委员会、环境资源委员会、社会建设委员会。</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rPr>
        <w:t>常宁市人民代表大会以常宁市人民代表大会常务委员会办公室为一级预算单位，统一纳入财政预算管理。</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rPr>
        <w:t>本单位现有制数</w:t>
      </w:r>
      <w:r>
        <w:rPr>
          <w:rFonts w:ascii="仿宋" w:hAnsi="仿宋" w:eastAsia="仿宋"/>
          <w:sz w:val="28"/>
          <w:szCs w:val="28"/>
        </w:rPr>
        <w:t>38</w:t>
      </w:r>
      <w:r>
        <w:rPr>
          <w:rFonts w:hint="eastAsia" w:ascii="仿宋" w:hAnsi="仿宋" w:eastAsia="仿宋"/>
          <w:sz w:val="28"/>
          <w:szCs w:val="28"/>
        </w:rPr>
        <w:t>人</w:t>
      </w:r>
      <w:r>
        <w:rPr>
          <w:rFonts w:ascii="仿宋" w:hAnsi="仿宋" w:eastAsia="仿宋"/>
          <w:sz w:val="28"/>
          <w:szCs w:val="28"/>
        </w:rPr>
        <w:t>,</w:t>
      </w:r>
      <w:r>
        <w:rPr>
          <w:rFonts w:hint="eastAsia" w:ascii="仿宋" w:hAnsi="仿宋" w:eastAsia="仿宋"/>
          <w:sz w:val="28"/>
          <w:szCs w:val="28"/>
        </w:rPr>
        <w:t>在职人数</w:t>
      </w:r>
      <w:r>
        <w:rPr>
          <w:rFonts w:ascii="仿宋" w:hAnsi="仿宋" w:eastAsia="仿宋"/>
          <w:sz w:val="28"/>
          <w:szCs w:val="28"/>
        </w:rPr>
        <w:t>4</w:t>
      </w:r>
      <w:r>
        <w:rPr>
          <w:rFonts w:hint="eastAsia" w:ascii="仿宋" w:hAnsi="仿宋" w:eastAsia="仿宋"/>
          <w:sz w:val="28"/>
          <w:szCs w:val="28"/>
          <w:lang w:val="en-US" w:eastAsia="zh-CN"/>
        </w:rPr>
        <w:t>2</w:t>
      </w:r>
      <w:r>
        <w:rPr>
          <w:rFonts w:hint="eastAsia" w:ascii="仿宋" w:hAnsi="仿宋" w:eastAsia="仿宋"/>
          <w:sz w:val="28"/>
          <w:szCs w:val="28"/>
        </w:rPr>
        <w:t>人，其中</w:t>
      </w:r>
      <w:r>
        <w:rPr>
          <w:rFonts w:ascii="仿宋" w:hAnsi="仿宋" w:eastAsia="仿宋"/>
          <w:sz w:val="28"/>
          <w:szCs w:val="28"/>
        </w:rPr>
        <w:t>:</w:t>
      </w:r>
      <w:r>
        <w:rPr>
          <w:rFonts w:hint="eastAsia" w:ascii="仿宋" w:hAnsi="仿宋" w:eastAsia="仿宋"/>
          <w:sz w:val="28"/>
          <w:szCs w:val="28"/>
        </w:rPr>
        <w:t>在岗人数</w:t>
      </w:r>
      <w:r>
        <w:rPr>
          <w:rFonts w:ascii="仿宋" w:hAnsi="仿宋" w:eastAsia="仿宋"/>
          <w:sz w:val="28"/>
          <w:szCs w:val="28"/>
        </w:rPr>
        <w:t>4</w:t>
      </w:r>
      <w:r>
        <w:rPr>
          <w:rFonts w:hint="eastAsia" w:ascii="仿宋" w:hAnsi="仿宋" w:eastAsia="仿宋"/>
          <w:sz w:val="28"/>
          <w:szCs w:val="28"/>
          <w:lang w:val="en-US" w:eastAsia="zh-CN"/>
        </w:rPr>
        <w:t>2</w:t>
      </w:r>
      <w:r>
        <w:rPr>
          <w:rFonts w:hint="eastAsia" w:ascii="仿宋" w:hAnsi="仿宋" w:eastAsia="仿宋"/>
          <w:sz w:val="28"/>
          <w:szCs w:val="28"/>
        </w:rPr>
        <w:t>人；离退休人数</w:t>
      </w:r>
      <w:r>
        <w:rPr>
          <w:rFonts w:ascii="仿宋" w:hAnsi="仿宋" w:eastAsia="仿宋"/>
          <w:sz w:val="28"/>
          <w:szCs w:val="28"/>
        </w:rPr>
        <w:t>45</w:t>
      </w:r>
      <w:r>
        <w:rPr>
          <w:rFonts w:hint="eastAsia" w:ascii="仿宋" w:hAnsi="仿宋" w:eastAsia="仿宋"/>
          <w:sz w:val="28"/>
          <w:szCs w:val="28"/>
        </w:rPr>
        <w:t>人，其中离休人员</w:t>
      </w:r>
      <w:r>
        <w:rPr>
          <w:rFonts w:ascii="仿宋" w:hAnsi="仿宋" w:eastAsia="仿宋"/>
          <w:sz w:val="28"/>
          <w:szCs w:val="28"/>
        </w:rPr>
        <w:t>0</w:t>
      </w:r>
      <w:r>
        <w:rPr>
          <w:rFonts w:hint="eastAsia" w:ascii="仿宋" w:hAnsi="仿宋" w:eastAsia="仿宋"/>
          <w:sz w:val="28"/>
          <w:szCs w:val="28"/>
        </w:rPr>
        <w:t>人，退休人员</w:t>
      </w:r>
      <w:r>
        <w:rPr>
          <w:rFonts w:ascii="仿宋" w:hAnsi="仿宋" w:eastAsia="仿宋"/>
          <w:sz w:val="28"/>
          <w:szCs w:val="28"/>
        </w:rPr>
        <w:t>45</w:t>
      </w:r>
      <w:r>
        <w:rPr>
          <w:rFonts w:hint="eastAsia" w:ascii="仿宋" w:hAnsi="仿宋" w:eastAsia="仿宋"/>
          <w:sz w:val="28"/>
          <w:szCs w:val="28"/>
        </w:rPr>
        <w:t>人。</w:t>
      </w:r>
    </w:p>
    <w:p>
      <w:pPr>
        <w:pStyle w:val="7"/>
        <w:tabs>
          <w:tab w:val="left" w:pos="420"/>
        </w:tabs>
        <w:spacing w:beforeAutospacing="0" w:afterAutospacing="0" w:line="360" w:lineRule="auto"/>
        <w:ind w:firstLine="562" w:firstLineChars="200"/>
        <w:rPr>
          <w:b/>
          <w:bCs/>
          <w:sz w:val="28"/>
          <w:szCs w:val="28"/>
        </w:rPr>
      </w:pPr>
      <w:r>
        <w:rPr>
          <w:rFonts w:hint="eastAsia"/>
          <w:b/>
          <w:bCs/>
          <w:sz w:val="28"/>
          <w:szCs w:val="28"/>
        </w:rPr>
        <w:t>（三）部门收支情况</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本单位</w:t>
      </w:r>
      <w:r>
        <w:rPr>
          <w:rFonts w:hint="eastAsia" w:ascii="仿宋" w:hAnsi="仿宋" w:eastAsia="仿宋"/>
          <w:sz w:val="28"/>
          <w:szCs w:val="28"/>
          <w:lang w:eastAsia="zh-CN"/>
        </w:rPr>
        <w:t>2020</w:t>
      </w:r>
      <w:r>
        <w:rPr>
          <w:rFonts w:hint="eastAsia" w:ascii="仿宋" w:hAnsi="仿宋" w:eastAsia="仿宋"/>
          <w:sz w:val="28"/>
          <w:szCs w:val="28"/>
        </w:rPr>
        <w:t>年度收入总计</w:t>
      </w:r>
      <w:r>
        <w:rPr>
          <w:rFonts w:ascii="仿宋" w:hAnsi="仿宋" w:eastAsia="仿宋"/>
          <w:sz w:val="28"/>
          <w:szCs w:val="28"/>
        </w:rPr>
        <w:t>12</w:t>
      </w:r>
      <w:r>
        <w:rPr>
          <w:rFonts w:hint="eastAsia" w:ascii="仿宋" w:hAnsi="仿宋" w:eastAsia="仿宋"/>
          <w:sz w:val="28"/>
          <w:szCs w:val="28"/>
          <w:lang w:val="en-US" w:eastAsia="zh-CN"/>
        </w:rPr>
        <w:t>02.2</w:t>
      </w:r>
      <w:r>
        <w:rPr>
          <w:rFonts w:hint="eastAsia" w:ascii="仿宋" w:hAnsi="仿宋" w:eastAsia="仿宋"/>
          <w:sz w:val="28"/>
          <w:szCs w:val="28"/>
        </w:rPr>
        <w:t>万元，其中财政拨款收入</w:t>
      </w:r>
      <w:r>
        <w:rPr>
          <w:rFonts w:ascii="仿宋" w:hAnsi="仿宋" w:eastAsia="仿宋"/>
          <w:sz w:val="28"/>
          <w:szCs w:val="28"/>
        </w:rPr>
        <w:t>12</w:t>
      </w:r>
      <w:r>
        <w:rPr>
          <w:rFonts w:hint="eastAsia" w:ascii="仿宋" w:hAnsi="仿宋" w:eastAsia="仿宋"/>
          <w:sz w:val="28"/>
          <w:szCs w:val="28"/>
          <w:lang w:val="en-US" w:eastAsia="zh-CN"/>
        </w:rPr>
        <w:t>02.2</w:t>
      </w:r>
      <w:r>
        <w:rPr>
          <w:rFonts w:hint="eastAsia" w:ascii="仿宋" w:hAnsi="仿宋" w:eastAsia="仿宋"/>
          <w:sz w:val="28"/>
          <w:szCs w:val="28"/>
        </w:rPr>
        <w:t>万元。全年总支出</w:t>
      </w:r>
      <w:r>
        <w:rPr>
          <w:rFonts w:ascii="仿宋" w:hAnsi="仿宋" w:eastAsia="仿宋"/>
          <w:sz w:val="28"/>
          <w:szCs w:val="28"/>
        </w:rPr>
        <w:t>1</w:t>
      </w:r>
      <w:r>
        <w:rPr>
          <w:rFonts w:hint="eastAsia" w:ascii="仿宋" w:hAnsi="仿宋" w:eastAsia="仿宋"/>
          <w:sz w:val="28"/>
          <w:szCs w:val="28"/>
          <w:lang w:val="en-US" w:eastAsia="zh-CN"/>
        </w:rPr>
        <w:t>195.99</w:t>
      </w:r>
      <w:r>
        <w:rPr>
          <w:rFonts w:hint="eastAsia" w:ascii="仿宋" w:hAnsi="仿宋" w:eastAsia="仿宋"/>
          <w:sz w:val="28"/>
          <w:szCs w:val="28"/>
        </w:rPr>
        <w:t>万元（其中基本支出为592.57万元，项目支出603.42万元。其中工资福利支出</w:t>
      </w:r>
      <w:r>
        <w:rPr>
          <w:rFonts w:ascii="仿宋" w:hAnsi="仿宋" w:eastAsia="仿宋"/>
          <w:sz w:val="28"/>
          <w:szCs w:val="28"/>
        </w:rPr>
        <w:t>5</w:t>
      </w:r>
      <w:r>
        <w:rPr>
          <w:rFonts w:hint="eastAsia" w:ascii="仿宋" w:hAnsi="仿宋" w:eastAsia="仿宋"/>
          <w:sz w:val="28"/>
          <w:szCs w:val="28"/>
          <w:lang w:val="en-US" w:eastAsia="zh-CN"/>
        </w:rPr>
        <w:t>62.8</w:t>
      </w:r>
      <w:r>
        <w:rPr>
          <w:rFonts w:hint="eastAsia" w:ascii="仿宋" w:hAnsi="仿宋" w:eastAsia="仿宋"/>
          <w:sz w:val="28"/>
          <w:szCs w:val="28"/>
        </w:rPr>
        <w:t>万元，商品和服务支出</w:t>
      </w:r>
      <w:r>
        <w:rPr>
          <w:rFonts w:hint="eastAsia" w:ascii="仿宋" w:hAnsi="仿宋" w:eastAsia="仿宋"/>
          <w:sz w:val="28"/>
          <w:szCs w:val="28"/>
          <w:lang w:val="en-US" w:eastAsia="zh-CN"/>
        </w:rPr>
        <w:t>480.66</w:t>
      </w:r>
      <w:r>
        <w:rPr>
          <w:rFonts w:hint="eastAsia" w:ascii="仿宋" w:hAnsi="仿宋" w:eastAsia="仿宋"/>
          <w:sz w:val="28"/>
          <w:szCs w:val="28"/>
        </w:rPr>
        <w:t>万元</w:t>
      </w:r>
      <w:r>
        <w:rPr>
          <w:rFonts w:hint="eastAsia" w:ascii="仿宋" w:hAnsi="仿宋" w:eastAsia="仿宋"/>
          <w:sz w:val="28"/>
          <w:szCs w:val="28"/>
          <w:lang w:eastAsia="zh-CN"/>
        </w:rPr>
        <w:t>，对个人和家庭的补助</w:t>
      </w:r>
      <w:r>
        <w:rPr>
          <w:rFonts w:hint="eastAsia" w:ascii="仿宋" w:hAnsi="仿宋" w:eastAsia="仿宋"/>
          <w:sz w:val="28"/>
          <w:szCs w:val="28"/>
          <w:lang w:val="en-US" w:eastAsia="zh-CN"/>
        </w:rPr>
        <w:t>10.58，资本性支出141.95万元</w:t>
      </w:r>
      <w:r>
        <w:rPr>
          <w:rFonts w:hint="eastAsia" w:ascii="仿宋" w:hAnsi="仿宋" w:eastAsia="仿宋"/>
          <w:sz w:val="28"/>
          <w:szCs w:val="28"/>
        </w:rPr>
        <w:t>）。</w:t>
      </w:r>
    </w:p>
    <w:p>
      <w:pPr>
        <w:pStyle w:val="7"/>
        <w:tabs>
          <w:tab w:val="left" w:pos="420"/>
        </w:tabs>
        <w:spacing w:beforeAutospacing="0" w:afterAutospacing="0" w:line="360" w:lineRule="auto"/>
        <w:ind w:firstLine="562" w:firstLineChars="200"/>
        <w:rPr>
          <w:b/>
          <w:bCs/>
          <w:sz w:val="28"/>
          <w:szCs w:val="28"/>
        </w:rPr>
      </w:pPr>
      <w:r>
        <w:rPr>
          <w:rFonts w:hint="eastAsia"/>
          <w:b/>
          <w:bCs/>
          <w:sz w:val="28"/>
          <w:szCs w:val="28"/>
        </w:rPr>
        <w:t>（四）部门绩效目标</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lang w:eastAsia="zh-CN"/>
        </w:rPr>
        <w:t>2020</w:t>
      </w:r>
      <w:r>
        <w:rPr>
          <w:rFonts w:hint="eastAsia" w:ascii="仿宋" w:hAnsi="仿宋" w:eastAsia="仿宋"/>
          <w:sz w:val="28"/>
          <w:szCs w:val="28"/>
        </w:rPr>
        <w:t>年，市人大常委会以习近平新时代中国特色社会主义思想为指导，全面贯彻党的十九大精神和习近平总书记关于坚持和完善人民代表大会制度</w:t>
      </w:r>
      <w:r>
        <w:rPr>
          <w:rFonts w:hint="eastAsia" w:ascii="仿宋" w:hAnsi="仿宋" w:eastAsia="仿宋"/>
          <w:sz w:val="28"/>
          <w:szCs w:val="28"/>
          <w:lang w:eastAsia="zh-CN"/>
        </w:rPr>
        <w:t>的</w:t>
      </w:r>
      <w:r>
        <w:rPr>
          <w:rFonts w:hint="eastAsia" w:ascii="仿宋" w:hAnsi="仿宋" w:eastAsia="仿宋"/>
          <w:sz w:val="28"/>
          <w:szCs w:val="28"/>
        </w:rPr>
        <w:t>重要思想，服从服务大局，依法履职尽责，圆满完成了年初确定的各项目标任务。全年共举行常委会会议</w:t>
      </w:r>
      <w:r>
        <w:rPr>
          <w:rFonts w:hint="eastAsia" w:ascii="仿宋" w:hAnsi="仿宋" w:eastAsia="仿宋"/>
          <w:sz w:val="28"/>
          <w:szCs w:val="28"/>
          <w:lang w:val="en-US" w:eastAsia="zh-CN"/>
        </w:rPr>
        <w:t>6</w:t>
      </w:r>
      <w:r>
        <w:rPr>
          <w:rFonts w:hint="eastAsia" w:ascii="仿宋" w:hAnsi="仿宋" w:eastAsia="仿宋"/>
          <w:sz w:val="28"/>
          <w:szCs w:val="28"/>
        </w:rPr>
        <w:t>次、主任会议</w:t>
      </w:r>
      <w:r>
        <w:rPr>
          <w:rFonts w:ascii="仿宋" w:hAnsi="仿宋" w:eastAsia="仿宋"/>
          <w:sz w:val="28"/>
          <w:szCs w:val="28"/>
        </w:rPr>
        <w:t>1</w:t>
      </w:r>
      <w:r>
        <w:rPr>
          <w:rFonts w:hint="eastAsia" w:ascii="仿宋" w:hAnsi="仿宋" w:eastAsia="仿宋"/>
          <w:sz w:val="28"/>
          <w:szCs w:val="28"/>
          <w:lang w:val="en-US" w:eastAsia="zh-CN"/>
        </w:rPr>
        <w:t>0</w:t>
      </w:r>
      <w:r>
        <w:rPr>
          <w:rFonts w:hint="eastAsia" w:ascii="仿宋" w:hAnsi="仿宋" w:eastAsia="仿宋"/>
          <w:sz w:val="28"/>
          <w:szCs w:val="28"/>
        </w:rPr>
        <w:t>次，听取和审议专项工作报告</w:t>
      </w:r>
      <w:r>
        <w:rPr>
          <w:rFonts w:hint="eastAsia" w:ascii="仿宋" w:hAnsi="仿宋" w:eastAsia="仿宋"/>
          <w:sz w:val="28"/>
          <w:szCs w:val="28"/>
          <w:lang w:val="en-US" w:eastAsia="zh-CN"/>
        </w:rPr>
        <w:t>17</w:t>
      </w:r>
      <w:r>
        <w:rPr>
          <w:rFonts w:hint="eastAsia" w:ascii="仿宋" w:hAnsi="仿宋" w:eastAsia="仿宋"/>
          <w:sz w:val="28"/>
          <w:szCs w:val="28"/>
        </w:rPr>
        <w:t>个，作出决议决定</w:t>
      </w:r>
      <w:r>
        <w:rPr>
          <w:rFonts w:ascii="仿宋" w:hAnsi="仿宋" w:eastAsia="仿宋"/>
          <w:sz w:val="28"/>
          <w:szCs w:val="28"/>
        </w:rPr>
        <w:t>9</w:t>
      </w:r>
      <w:r>
        <w:rPr>
          <w:rFonts w:hint="eastAsia" w:ascii="仿宋" w:hAnsi="仿宋" w:eastAsia="仿宋"/>
          <w:sz w:val="28"/>
          <w:szCs w:val="28"/>
        </w:rPr>
        <w:t>个，交办审议意见</w:t>
      </w:r>
      <w:r>
        <w:rPr>
          <w:rFonts w:hint="eastAsia" w:ascii="仿宋" w:hAnsi="仿宋" w:eastAsia="仿宋"/>
          <w:sz w:val="28"/>
          <w:szCs w:val="28"/>
          <w:lang w:val="en-US" w:eastAsia="zh-CN"/>
        </w:rPr>
        <w:t>11</w:t>
      </w:r>
      <w:r>
        <w:rPr>
          <w:rFonts w:hint="eastAsia" w:ascii="仿宋" w:hAnsi="仿宋" w:eastAsia="仿宋"/>
          <w:sz w:val="28"/>
          <w:szCs w:val="28"/>
        </w:rPr>
        <w:t>件，组织开展</w:t>
      </w:r>
      <w:r>
        <w:rPr>
          <w:rFonts w:hint="eastAsia" w:ascii="仿宋" w:hAnsi="仿宋" w:eastAsia="仿宋"/>
          <w:sz w:val="28"/>
          <w:szCs w:val="28"/>
          <w:lang w:eastAsia="zh-CN"/>
        </w:rPr>
        <w:t>专题调研</w:t>
      </w:r>
      <w:r>
        <w:rPr>
          <w:rFonts w:hint="eastAsia" w:ascii="仿宋" w:hAnsi="仿宋" w:eastAsia="仿宋"/>
          <w:sz w:val="28"/>
          <w:szCs w:val="28"/>
          <w:lang w:val="en-US" w:eastAsia="zh-CN"/>
        </w:rPr>
        <w:t>19</w:t>
      </w:r>
      <w:r>
        <w:rPr>
          <w:rFonts w:hint="eastAsia" w:ascii="仿宋" w:hAnsi="仿宋" w:eastAsia="仿宋"/>
          <w:sz w:val="28"/>
          <w:szCs w:val="28"/>
        </w:rPr>
        <w:t>次，常委会各项工作取得了新成效。</w:t>
      </w:r>
    </w:p>
    <w:p>
      <w:pPr>
        <w:pStyle w:val="7"/>
        <w:tabs>
          <w:tab w:val="left" w:pos="420"/>
        </w:tabs>
        <w:spacing w:beforeAutospacing="0" w:afterAutospacing="0" w:line="360" w:lineRule="auto"/>
        <w:ind w:firstLine="562" w:firstLineChars="200"/>
        <w:rPr>
          <w:rFonts w:hint="eastAsia" w:ascii="仿宋" w:hAnsi="仿宋" w:eastAsia="仿宋"/>
          <w:b/>
          <w:sz w:val="28"/>
          <w:szCs w:val="28"/>
          <w:lang w:eastAsia="zh-CN"/>
        </w:rPr>
      </w:pPr>
      <w:r>
        <w:rPr>
          <w:rFonts w:ascii="仿宋" w:hAnsi="仿宋" w:eastAsia="仿宋"/>
          <w:b/>
          <w:sz w:val="28"/>
          <w:szCs w:val="28"/>
        </w:rPr>
        <w:t>1</w:t>
      </w:r>
      <w:r>
        <w:rPr>
          <w:rFonts w:hint="eastAsia" w:ascii="仿宋" w:hAnsi="仿宋" w:eastAsia="仿宋"/>
          <w:b/>
          <w:sz w:val="28"/>
          <w:szCs w:val="28"/>
        </w:rPr>
        <w:t>、</w:t>
      </w:r>
      <w:r>
        <w:rPr>
          <w:rFonts w:hint="eastAsia" w:ascii="仿宋" w:hAnsi="仿宋" w:eastAsia="仿宋"/>
          <w:b/>
          <w:sz w:val="28"/>
          <w:szCs w:val="28"/>
          <w:lang w:eastAsia="zh-CN"/>
        </w:rPr>
        <w:t>在坚持党的领导中把握了人大方向</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lang w:eastAsia="zh-CN"/>
        </w:rPr>
        <w:t>坚持理论学习，信念宗旨进一步铸牢；坚持党的领导，政治方向进一步坚定；坚持依法任免，党委主张进一步确保</w:t>
      </w:r>
      <w:r>
        <w:rPr>
          <w:rFonts w:hint="eastAsia" w:ascii="仿宋" w:hAnsi="仿宋" w:eastAsia="仿宋"/>
          <w:sz w:val="28"/>
          <w:szCs w:val="28"/>
        </w:rPr>
        <w:t>。</w:t>
      </w:r>
    </w:p>
    <w:p>
      <w:pPr>
        <w:pStyle w:val="7"/>
        <w:tabs>
          <w:tab w:val="left" w:pos="420"/>
        </w:tabs>
        <w:spacing w:beforeAutospacing="0" w:afterAutospacing="0" w:line="360" w:lineRule="auto"/>
        <w:ind w:firstLine="562" w:firstLineChars="200"/>
        <w:rPr>
          <w:rFonts w:hint="eastAsia" w:ascii="仿宋" w:hAnsi="仿宋" w:eastAsia="仿宋"/>
          <w:b/>
          <w:sz w:val="28"/>
          <w:szCs w:val="28"/>
          <w:lang w:eastAsia="zh-CN"/>
        </w:rPr>
      </w:pPr>
      <w:r>
        <w:rPr>
          <w:rFonts w:ascii="仿宋" w:hAnsi="仿宋" w:eastAsia="仿宋"/>
          <w:b/>
          <w:sz w:val="28"/>
          <w:szCs w:val="28"/>
        </w:rPr>
        <w:t>2</w:t>
      </w:r>
      <w:r>
        <w:rPr>
          <w:rFonts w:hint="eastAsia" w:ascii="仿宋" w:hAnsi="仿宋" w:eastAsia="仿宋"/>
          <w:b/>
          <w:sz w:val="28"/>
          <w:szCs w:val="28"/>
        </w:rPr>
        <w:t>、</w:t>
      </w:r>
      <w:r>
        <w:rPr>
          <w:rFonts w:hint="eastAsia" w:ascii="仿宋" w:hAnsi="仿宋" w:eastAsia="仿宋"/>
          <w:b/>
          <w:sz w:val="28"/>
          <w:szCs w:val="28"/>
          <w:lang w:eastAsia="zh-CN"/>
        </w:rPr>
        <w:t>在服务发展大局中体现了人大担当</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lang w:eastAsia="zh-CN"/>
        </w:rPr>
        <w:t>推动疫情防控有作为，助力脱贫攻坚有担当，实施财政监督有力道，增进民生福祉有温度</w:t>
      </w:r>
      <w:r>
        <w:rPr>
          <w:rFonts w:hint="eastAsia" w:ascii="仿宋" w:hAnsi="仿宋" w:eastAsia="仿宋"/>
          <w:sz w:val="28"/>
          <w:szCs w:val="28"/>
        </w:rPr>
        <w:t>。</w:t>
      </w:r>
    </w:p>
    <w:p>
      <w:pPr>
        <w:pStyle w:val="7"/>
        <w:tabs>
          <w:tab w:val="left" w:pos="420"/>
        </w:tabs>
        <w:spacing w:beforeAutospacing="0" w:afterAutospacing="0" w:line="360" w:lineRule="auto"/>
        <w:ind w:firstLine="562" w:firstLineChars="200"/>
        <w:rPr>
          <w:rFonts w:hint="eastAsia" w:ascii="仿宋" w:hAnsi="仿宋" w:eastAsia="仿宋"/>
          <w:b/>
          <w:sz w:val="28"/>
          <w:szCs w:val="28"/>
          <w:lang w:eastAsia="zh-CN"/>
        </w:rPr>
      </w:pPr>
      <w:r>
        <w:rPr>
          <w:rFonts w:ascii="仿宋" w:hAnsi="仿宋" w:eastAsia="仿宋"/>
          <w:b/>
          <w:sz w:val="28"/>
          <w:szCs w:val="28"/>
        </w:rPr>
        <w:t>3</w:t>
      </w:r>
      <w:r>
        <w:rPr>
          <w:rFonts w:hint="eastAsia" w:ascii="仿宋" w:hAnsi="仿宋" w:eastAsia="仿宋"/>
          <w:b/>
          <w:sz w:val="28"/>
          <w:szCs w:val="28"/>
        </w:rPr>
        <w:t>、</w:t>
      </w:r>
      <w:r>
        <w:rPr>
          <w:rFonts w:hint="eastAsia" w:ascii="仿宋" w:hAnsi="仿宋" w:eastAsia="仿宋"/>
          <w:b/>
          <w:sz w:val="28"/>
          <w:szCs w:val="28"/>
          <w:lang w:eastAsia="zh-CN"/>
        </w:rPr>
        <w:t>在推进依法治市中彰显了人大责任</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lang w:eastAsia="zh-CN"/>
        </w:rPr>
        <w:t>全力配合立法调研，跟踪问效执法检查，大力推进依法行政，切实加强司法监督</w:t>
      </w:r>
      <w:r>
        <w:rPr>
          <w:rFonts w:hint="eastAsia" w:ascii="仿宋" w:hAnsi="仿宋" w:eastAsia="仿宋"/>
          <w:sz w:val="28"/>
          <w:szCs w:val="28"/>
        </w:rPr>
        <w:t>。</w:t>
      </w:r>
    </w:p>
    <w:p>
      <w:pPr>
        <w:pStyle w:val="7"/>
        <w:tabs>
          <w:tab w:val="left" w:pos="420"/>
        </w:tabs>
        <w:spacing w:beforeAutospacing="0" w:afterAutospacing="0" w:line="360" w:lineRule="auto"/>
        <w:ind w:firstLine="562" w:firstLineChars="200"/>
        <w:rPr>
          <w:rFonts w:hint="eastAsia" w:ascii="仿宋" w:hAnsi="仿宋" w:eastAsia="仿宋"/>
          <w:b/>
          <w:sz w:val="28"/>
          <w:szCs w:val="28"/>
          <w:lang w:eastAsia="zh-CN"/>
        </w:rPr>
      </w:pPr>
      <w:r>
        <w:rPr>
          <w:rFonts w:ascii="仿宋" w:hAnsi="仿宋" w:eastAsia="仿宋"/>
          <w:b/>
          <w:sz w:val="28"/>
          <w:szCs w:val="28"/>
        </w:rPr>
        <w:t>4</w:t>
      </w:r>
      <w:r>
        <w:rPr>
          <w:rFonts w:hint="eastAsia" w:ascii="仿宋" w:hAnsi="仿宋" w:eastAsia="仿宋"/>
          <w:b/>
          <w:sz w:val="28"/>
          <w:szCs w:val="28"/>
        </w:rPr>
        <w:t>、</w:t>
      </w:r>
      <w:r>
        <w:rPr>
          <w:rFonts w:hint="eastAsia" w:ascii="仿宋" w:hAnsi="仿宋" w:eastAsia="仿宋"/>
          <w:b/>
          <w:sz w:val="28"/>
          <w:szCs w:val="28"/>
          <w:lang w:eastAsia="zh-CN"/>
        </w:rPr>
        <w:t>在深化代表履职中展示了人大风采</w:t>
      </w:r>
    </w:p>
    <w:p>
      <w:pPr>
        <w:pStyle w:val="7"/>
        <w:tabs>
          <w:tab w:val="left" w:pos="420"/>
        </w:tabs>
        <w:spacing w:beforeAutospacing="0" w:afterAutospacing="0"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代表履职为民上新水平，民生实事票决创新特色，议案建议督办呈新亮点。</w:t>
      </w:r>
    </w:p>
    <w:p>
      <w:pPr>
        <w:pStyle w:val="7"/>
        <w:tabs>
          <w:tab w:val="left" w:pos="420"/>
        </w:tabs>
        <w:spacing w:beforeAutospacing="0" w:afterAutospacing="0" w:line="360" w:lineRule="auto"/>
        <w:ind w:firstLine="562" w:firstLineChars="200"/>
        <w:rPr>
          <w:rFonts w:hint="eastAsia" w:ascii="仿宋" w:hAnsi="仿宋" w:eastAsia="仿宋"/>
          <w:b/>
          <w:sz w:val="28"/>
          <w:szCs w:val="28"/>
          <w:lang w:eastAsia="zh-CN"/>
        </w:rPr>
      </w:pPr>
      <w:r>
        <w:rPr>
          <w:rFonts w:ascii="仿宋" w:hAnsi="仿宋" w:eastAsia="仿宋"/>
          <w:b/>
          <w:sz w:val="28"/>
          <w:szCs w:val="28"/>
        </w:rPr>
        <w:t>5</w:t>
      </w:r>
      <w:r>
        <w:rPr>
          <w:rFonts w:hint="eastAsia" w:ascii="仿宋" w:hAnsi="仿宋" w:eastAsia="仿宋"/>
          <w:b/>
          <w:sz w:val="28"/>
          <w:szCs w:val="28"/>
        </w:rPr>
        <w:t>、</w:t>
      </w:r>
      <w:r>
        <w:rPr>
          <w:rFonts w:hint="eastAsia" w:ascii="仿宋" w:hAnsi="仿宋" w:eastAsia="仿宋"/>
          <w:b/>
          <w:sz w:val="28"/>
          <w:szCs w:val="28"/>
          <w:lang w:eastAsia="zh-CN"/>
        </w:rPr>
        <w:t>在加强自身建设中树立了人大形象</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lang w:eastAsia="zh-CN"/>
        </w:rPr>
        <w:t>加强机关自身建设，精心组织纪念活动，推进基层人大工作</w:t>
      </w:r>
      <w:r>
        <w:rPr>
          <w:rFonts w:hint="eastAsia" w:ascii="仿宋" w:hAnsi="仿宋" w:eastAsia="仿宋"/>
          <w:sz w:val="28"/>
          <w:szCs w:val="28"/>
        </w:rPr>
        <w:t>。</w:t>
      </w:r>
    </w:p>
    <w:p>
      <w:pPr>
        <w:rPr>
          <w:rFonts w:ascii="黑体" w:eastAsia="黑体"/>
          <w:b/>
          <w:bCs/>
          <w:sz w:val="32"/>
          <w:szCs w:val="32"/>
        </w:rPr>
      </w:pPr>
      <w:r>
        <w:rPr>
          <w:rFonts w:hint="eastAsia" w:ascii="黑体" w:eastAsia="黑体"/>
          <w:b/>
          <w:bCs/>
          <w:sz w:val="32"/>
          <w:szCs w:val="32"/>
        </w:rPr>
        <w:t>二、绩效评价工作情况</w:t>
      </w:r>
    </w:p>
    <w:p>
      <w:pPr>
        <w:pStyle w:val="7"/>
        <w:tabs>
          <w:tab w:val="left" w:pos="420"/>
        </w:tabs>
        <w:spacing w:beforeAutospacing="0" w:afterAutospacing="0" w:line="360" w:lineRule="auto"/>
        <w:ind w:firstLine="562" w:firstLineChars="200"/>
        <w:rPr>
          <w:b/>
          <w:bCs/>
          <w:sz w:val="28"/>
          <w:szCs w:val="28"/>
        </w:rPr>
      </w:pPr>
      <w:r>
        <w:rPr>
          <w:rFonts w:hint="eastAsia"/>
          <w:b/>
          <w:bCs/>
          <w:sz w:val="28"/>
          <w:szCs w:val="28"/>
        </w:rPr>
        <w:t>（一）绩效评价目的</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rPr>
        <w:t>通过对</w:t>
      </w:r>
      <w:r>
        <w:rPr>
          <w:rFonts w:hint="eastAsia" w:ascii="仿宋" w:hAnsi="仿宋" w:eastAsia="仿宋"/>
          <w:sz w:val="28"/>
          <w:szCs w:val="28"/>
          <w:lang w:eastAsia="zh-CN"/>
        </w:rPr>
        <w:t>2020</w:t>
      </w:r>
      <w:r>
        <w:rPr>
          <w:rFonts w:hint="eastAsia" w:ascii="仿宋" w:hAnsi="仿宋" w:eastAsia="仿宋"/>
          <w:sz w:val="28"/>
          <w:szCs w:val="28"/>
        </w:rPr>
        <w:t>年的预算配置、预算管理、资产管理、职责履行、履职效益等内部的绩效考评，提高财政资金的使用效率，为财政部门预算管理提供决策依据。</w:t>
      </w:r>
    </w:p>
    <w:p>
      <w:pPr>
        <w:pStyle w:val="7"/>
        <w:tabs>
          <w:tab w:val="left" w:pos="420"/>
        </w:tabs>
        <w:spacing w:beforeAutospacing="0" w:afterAutospacing="0" w:line="360" w:lineRule="auto"/>
        <w:ind w:firstLine="562" w:firstLineChars="200"/>
        <w:rPr>
          <w:b/>
          <w:bCs/>
          <w:sz w:val="28"/>
          <w:szCs w:val="28"/>
        </w:rPr>
      </w:pPr>
      <w:r>
        <w:rPr>
          <w:rFonts w:hint="eastAsia"/>
          <w:b/>
          <w:bCs/>
          <w:sz w:val="28"/>
          <w:szCs w:val="28"/>
        </w:rPr>
        <w:t>（二）绩效评价原则、评价指标体系、评价方法、评价依据</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、绩效评价原则：绩效评价过程中遵循程序客观公正、操作简便高效、结果横向可比原则。</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、绩效指标体系：在市财政局制定的共性指标体系基础上，根据我镇实际情况进行调整细化，具体见附表。</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、绩效评价方法：主要采用产出效益分析法、比较法、因素分析法等。</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、绩效评价依据：</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）《关于全市所有行政事业单位整体绩效评价及重点项目绩效评价的通知》</w:t>
      </w:r>
      <w:r>
        <w:rPr>
          <w:rFonts w:ascii="仿宋" w:hAnsi="仿宋" w:eastAsia="仿宋"/>
          <w:sz w:val="28"/>
          <w:szCs w:val="28"/>
        </w:rPr>
        <w:t>[</w:t>
      </w:r>
      <w:r>
        <w:rPr>
          <w:rFonts w:hint="eastAsia" w:ascii="仿宋" w:hAnsi="仿宋" w:eastAsia="仿宋"/>
          <w:sz w:val="28"/>
          <w:szCs w:val="28"/>
        </w:rPr>
        <w:t>常财绩（</w:t>
      </w:r>
      <w:r>
        <w:rPr>
          <w:rFonts w:ascii="仿宋" w:hAnsi="仿宋" w:eastAsia="仿宋"/>
          <w:sz w:val="28"/>
          <w:szCs w:val="28"/>
        </w:rPr>
        <w:t>20</w:t>
      </w:r>
      <w:r>
        <w:rPr>
          <w:rFonts w:hint="eastAsia" w:ascii="仿宋" w:hAnsi="仿宋" w:eastAsia="仿宋"/>
          <w:sz w:val="28"/>
          <w:szCs w:val="28"/>
          <w:lang w:val="en-US" w:eastAsia="zh-CN"/>
        </w:rPr>
        <w:t>19</w:t>
      </w:r>
      <w:r>
        <w:rPr>
          <w:rFonts w:hint="eastAsia" w:ascii="仿宋" w:hAnsi="仿宋" w:eastAsia="仿宋"/>
          <w:sz w:val="28"/>
          <w:szCs w:val="28"/>
        </w:rPr>
        <w:t>）</w:t>
      </w:r>
      <w:r>
        <w:rPr>
          <w:rFonts w:ascii="仿宋" w:hAnsi="仿宋" w:eastAsia="仿宋"/>
          <w:sz w:val="28"/>
          <w:szCs w:val="28"/>
        </w:rPr>
        <w:t>57</w:t>
      </w:r>
      <w:r>
        <w:rPr>
          <w:rFonts w:hint="eastAsia" w:ascii="仿宋" w:hAnsi="仿宋" w:eastAsia="仿宋"/>
          <w:sz w:val="28"/>
          <w:szCs w:val="28"/>
        </w:rPr>
        <w:t>号</w:t>
      </w:r>
      <w:r>
        <w:rPr>
          <w:rFonts w:ascii="仿宋" w:hAnsi="仿宋" w:eastAsia="仿宋"/>
          <w:sz w:val="28"/>
          <w:szCs w:val="28"/>
        </w:rPr>
        <w:t>]</w:t>
      </w:r>
      <w:r>
        <w:rPr>
          <w:rFonts w:hint="eastAsia" w:ascii="仿宋" w:hAnsi="仿宋" w:eastAsia="仿宋"/>
          <w:sz w:val="28"/>
          <w:szCs w:val="28"/>
        </w:rPr>
        <w:t>。</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w:t>
      </w:r>
      <w:r>
        <w:rPr>
          <w:rFonts w:hint="eastAsia" w:ascii="仿宋" w:hAnsi="仿宋" w:eastAsia="仿宋"/>
          <w:sz w:val="28"/>
          <w:szCs w:val="28"/>
          <w:lang w:eastAsia="zh-CN"/>
        </w:rPr>
        <w:t>2020</w:t>
      </w:r>
      <w:r>
        <w:rPr>
          <w:rFonts w:hint="eastAsia" w:ascii="仿宋" w:hAnsi="仿宋" w:eastAsia="仿宋"/>
          <w:sz w:val="28"/>
          <w:szCs w:val="28"/>
        </w:rPr>
        <w:t>年决算报表等财务资料、工作总结、整体支出绩效评价自评等资料。</w:t>
      </w:r>
    </w:p>
    <w:p>
      <w:pPr>
        <w:rPr>
          <w:rFonts w:ascii="黑体" w:eastAsia="黑体"/>
          <w:b/>
          <w:bCs/>
          <w:sz w:val="32"/>
          <w:szCs w:val="32"/>
        </w:rPr>
      </w:pPr>
      <w:r>
        <w:rPr>
          <w:rFonts w:ascii="黑体" w:eastAsia="黑体"/>
          <w:b/>
          <w:bCs/>
          <w:sz w:val="32"/>
          <w:szCs w:val="32"/>
        </w:rPr>
        <w:t xml:space="preserve"> </w:t>
      </w:r>
      <w:r>
        <w:rPr>
          <w:rFonts w:hint="eastAsia" w:ascii="黑体" w:eastAsia="黑体"/>
          <w:b/>
          <w:bCs/>
          <w:sz w:val="32"/>
          <w:szCs w:val="32"/>
        </w:rPr>
        <w:t>三、评价结论及建议</w:t>
      </w:r>
    </w:p>
    <w:p>
      <w:pPr>
        <w:pStyle w:val="7"/>
        <w:tabs>
          <w:tab w:val="left" w:pos="420"/>
        </w:tabs>
        <w:spacing w:beforeAutospacing="0" w:afterAutospacing="0" w:line="360" w:lineRule="auto"/>
        <w:ind w:firstLine="562" w:firstLineChars="200"/>
        <w:rPr>
          <w:b/>
          <w:bCs/>
          <w:sz w:val="28"/>
          <w:szCs w:val="28"/>
        </w:rPr>
      </w:pPr>
      <w:r>
        <w:rPr>
          <w:rFonts w:hint="eastAsia"/>
          <w:b/>
          <w:bCs/>
          <w:sz w:val="28"/>
          <w:szCs w:val="28"/>
        </w:rPr>
        <w:t>（一）评价结论</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lang w:eastAsia="zh-CN"/>
        </w:rPr>
        <w:t>2020</w:t>
      </w:r>
      <w:r>
        <w:rPr>
          <w:rFonts w:hint="eastAsia" w:ascii="仿宋" w:hAnsi="仿宋" w:eastAsia="仿宋"/>
          <w:sz w:val="28"/>
          <w:szCs w:val="28"/>
        </w:rPr>
        <w:t>年，本单位及时、准确完成预算编制；并以财政所得的预算方案执行，规范内部控制和支出管理规范，未出现因违规支出受到相关部门批评或处理的情况；内部控制和财务管理制度完善，会计核算和账务处理规范及时，会计资料完整。基本支出确保了工资、津贴等各项福利待遇和机关正常运转的需要；项目开支依据和标准符合相关规定，实施过程中能够严格执行相关制度规定，按目标数量及质量按时完工，基本实现了项目设计功能。</w:t>
      </w:r>
    </w:p>
    <w:p>
      <w:pPr>
        <w:pStyle w:val="7"/>
        <w:tabs>
          <w:tab w:val="left" w:pos="420"/>
        </w:tabs>
        <w:spacing w:beforeAutospacing="0" w:afterAutospacing="0" w:line="360" w:lineRule="auto"/>
        <w:ind w:firstLine="562" w:firstLineChars="200"/>
        <w:rPr>
          <w:b/>
          <w:bCs/>
          <w:sz w:val="28"/>
          <w:szCs w:val="28"/>
        </w:rPr>
      </w:pPr>
      <w:r>
        <w:rPr>
          <w:rFonts w:hint="eastAsia"/>
          <w:b/>
          <w:bCs/>
          <w:sz w:val="28"/>
          <w:szCs w:val="28"/>
        </w:rPr>
        <w:t>（二）存在的问题</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rPr>
        <w:t>通过有效的管理和控制，充分发挥了财政资金的效益，但仍存在一些不足：</w:t>
      </w:r>
      <w:r>
        <w:rPr>
          <w:rFonts w:ascii="仿宋" w:hAnsi="仿宋" w:eastAsia="仿宋"/>
          <w:sz w:val="28"/>
          <w:szCs w:val="28"/>
        </w:rPr>
        <w:t>1</w:t>
      </w:r>
      <w:r>
        <w:rPr>
          <w:rFonts w:hint="eastAsia" w:ascii="仿宋" w:hAnsi="仿宋" w:eastAsia="仿宋"/>
          <w:sz w:val="28"/>
          <w:szCs w:val="28"/>
        </w:rPr>
        <w:t>、预算准确率有待提高，尤其是公用经费预算不足。</w:t>
      </w:r>
      <w:r>
        <w:rPr>
          <w:rFonts w:ascii="仿宋" w:hAnsi="仿宋" w:eastAsia="仿宋"/>
          <w:sz w:val="28"/>
          <w:szCs w:val="28"/>
        </w:rPr>
        <w:t>2</w:t>
      </w:r>
      <w:r>
        <w:rPr>
          <w:rFonts w:hint="eastAsia" w:ascii="仿宋" w:hAnsi="仿宋" w:eastAsia="仿宋"/>
          <w:sz w:val="28"/>
          <w:szCs w:val="28"/>
        </w:rPr>
        <w:t>、预算执行情况有待提高，存在经费混合的情况。</w:t>
      </w:r>
      <w:r>
        <w:rPr>
          <w:rFonts w:ascii="仿宋" w:hAnsi="仿宋" w:eastAsia="仿宋"/>
          <w:sz w:val="28"/>
          <w:szCs w:val="28"/>
        </w:rPr>
        <w:t>3</w:t>
      </w:r>
      <w:r>
        <w:rPr>
          <w:rFonts w:hint="eastAsia" w:ascii="仿宋" w:hAnsi="仿宋" w:eastAsia="仿宋"/>
          <w:sz w:val="28"/>
          <w:szCs w:val="28"/>
        </w:rPr>
        <w:t>、支付系统的统筹管理不畅，难以保证专款专用。</w:t>
      </w:r>
    </w:p>
    <w:p>
      <w:pPr>
        <w:pStyle w:val="7"/>
        <w:tabs>
          <w:tab w:val="left" w:pos="420"/>
        </w:tabs>
        <w:spacing w:beforeAutospacing="0" w:afterAutospacing="0" w:line="360" w:lineRule="auto"/>
        <w:ind w:firstLine="562" w:firstLineChars="200"/>
        <w:rPr>
          <w:b/>
          <w:bCs/>
          <w:sz w:val="28"/>
          <w:szCs w:val="28"/>
        </w:rPr>
      </w:pPr>
      <w:r>
        <w:rPr>
          <w:rFonts w:hint="eastAsia"/>
          <w:b/>
          <w:bCs/>
          <w:sz w:val="28"/>
          <w:szCs w:val="28"/>
        </w:rPr>
        <w:t>（三）改进措施和有关建议</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、提高预算编制的准确度，既要保证节约又要保证刚性支出的安排到位。</w:t>
      </w:r>
      <w:r>
        <w:rPr>
          <w:rFonts w:ascii="仿宋" w:hAnsi="仿宋" w:eastAsia="仿宋"/>
          <w:sz w:val="28"/>
          <w:szCs w:val="28"/>
        </w:rPr>
        <w:t>2</w:t>
      </w:r>
      <w:r>
        <w:rPr>
          <w:rFonts w:hint="eastAsia" w:ascii="仿宋" w:hAnsi="仿宋" w:eastAsia="仿宋"/>
          <w:sz w:val="28"/>
          <w:szCs w:val="28"/>
        </w:rPr>
        <w:t>、加强对预算执行的控制力度，杜绝预算外费用和项目的支出。</w:t>
      </w:r>
      <w:r>
        <w:rPr>
          <w:rFonts w:ascii="仿宋" w:hAnsi="仿宋" w:eastAsia="仿宋"/>
          <w:sz w:val="28"/>
          <w:szCs w:val="28"/>
        </w:rPr>
        <w:t>3</w:t>
      </w:r>
      <w:r>
        <w:rPr>
          <w:rFonts w:hint="eastAsia" w:ascii="仿宋" w:hAnsi="仿宋" w:eastAsia="仿宋"/>
          <w:sz w:val="28"/>
          <w:szCs w:val="28"/>
        </w:rPr>
        <w:t>、加强财政资金的日常调度，保证支付计划批复的及时性，确保做到专款专用。</w:t>
      </w:r>
      <w:r>
        <w:rPr>
          <w:rFonts w:ascii="仿宋" w:hAnsi="仿宋" w:eastAsia="仿宋"/>
          <w:sz w:val="28"/>
          <w:szCs w:val="28"/>
        </w:rPr>
        <w:t>4</w:t>
      </w:r>
      <w:r>
        <w:rPr>
          <w:rFonts w:hint="eastAsia" w:ascii="仿宋" w:hAnsi="仿宋" w:eastAsia="仿宋"/>
          <w:sz w:val="28"/>
          <w:szCs w:val="28"/>
        </w:rPr>
        <w:t>、强化平时的资金绩效管理，形成自觉评价机制。</w:t>
      </w:r>
    </w:p>
    <w:sectPr>
      <w:footerReference r:id="rId4" w:type="default"/>
      <w:footerReference r:id="rId5" w:type="even"/>
      <w:pgSz w:w="11906" w:h="16838"/>
      <w:pgMar w:top="1440" w:right="1701" w:bottom="1440"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5</w:t>
    </w:r>
    <w:r>
      <w:rPr>
        <w:rStyle w:val="11"/>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iY2E2YTliZjMwOTk1YTk3ZDQ2NzYyNWY4ODg2ZjkifQ=="/>
  </w:docVars>
  <w:rsids>
    <w:rsidRoot w:val="00D31D50"/>
    <w:rsid w:val="00004F44"/>
    <w:rsid w:val="000114AE"/>
    <w:rsid w:val="0003744F"/>
    <w:rsid w:val="000832F0"/>
    <w:rsid w:val="00130135"/>
    <w:rsid w:val="00170E12"/>
    <w:rsid w:val="001D09B5"/>
    <w:rsid w:val="001E5214"/>
    <w:rsid w:val="001F7FC4"/>
    <w:rsid w:val="002176C3"/>
    <w:rsid w:val="00225072"/>
    <w:rsid w:val="002441A3"/>
    <w:rsid w:val="00254E93"/>
    <w:rsid w:val="002E6EC7"/>
    <w:rsid w:val="002F2748"/>
    <w:rsid w:val="002F747C"/>
    <w:rsid w:val="0031261A"/>
    <w:rsid w:val="00315790"/>
    <w:rsid w:val="00323B43"/>
    <w:rsid w:val="00350336"/>
    <w:rsid w:val="00365CA1"/>
    <w:rsid w:val="003747E6"/>
    <w:rsid w:val="00397CA8"/>
    <w:rsid w:val="003B7B17"/>
    <w:rsid w:val="003C5ECC"/>
    <w:rsid w:val="003D37D8"/>
    <w:rsid w:val="003D48F5"/>
    <w:rsid w:val="003F757C"/>
    <w:rsid w:val="00422A83"/>
    <w:rsid w:val="00426133"/>
    <w:rsid w:val="004358AB"/>
    <w:rsid w:val="00447D9F"/>
    <w:rsid w:val="00450B63"/>
    <w:rsid w:val="00483821"/>
    <w:rsid w:val="004B1C50"/>
    <w:rsid w:val="004B6A2A"/>
    <w:rsid w:val="00526575"/>
    <w:rsid w:val="005553F1"/>
    <w:rsid w:val="00562734"/>
    <w:rsid w:val="005A0E14"/>
    <w:rsid w:val="005A39CE"/>
    <w:rsid w:val="005B7B60"/>
    <w:rsid w:val="006438F1"/>
    <w:rsid w:val="00682763"/>
    <w:rsid w:val="006E2B4D"/>
    <w:rsid w:val="006E7FCD"/>
    <w:rsid w:val="00704E32"/>
    <w:rsid w:val="00717A38"/>
    <w:rsid w:val="00720009"/>
    <w:rsid w:val="00741E8B"/>
    <w:rsid w:val="00742047"/>
    <w:rsid w:val="00751E1E"/>
    <w:rsid w:val="007670D1"/>
    <w:rsid w:val="007804FD"/>
    <w:rsid w:val="007D51C1"/>
    <w:rsid w:val="007E2F7B"/>
    <w:rsid w:val="007E7562"/>
    <w:rsid w:val="007F178C"/>
    <w:rsid w:val="00806300"/>
    <w:rsid w:val="00807A61"/>
    <w:rsid w:val="00810A6D"/>
    <w:rsid w:val="008B7726"/>
    <w:rsid w:val="008C20F8"/>
    <w:rsid w:val="008C323F"/>
    <w:rsid w:val="008C35BC"/>
    <w:rsid w:val="008F3AB9"/>
    <w:rsid w:val="00907F75"/>
    <w:rsid w:val="00914EA7"/>
    <w:rsid w:val="009240E3"/>
    <w:rsid w:val="0092487D"/>
    <w:rsid w:val="00927085"/>
    <w:rsid w:val="00936079"/>
    <w:rsid w:val="009544E6"/>
    <w:rsid w:val="0096018D"/>
    <w:rsid w:val="00961D6D"/>
    <w:rsid w:val="00985E5C"/>
    <w:rsid w:val="00987B78"/>
    <w:rsid w:val="00987F13"/>
    <w:rsid w:val="009A2854"/>
    <w:rsid w:val="009B5D59"/>
    <w:rsid w:val="009C4AD5"/>
    <w:rsid w:val="009D41BA"/>
    <w:rsid w:val="009F6641"/>
    <w:rsid w:val="00A07E1E"/>
    <w:rsid w:val="00A45E72"/>
    <w:rsid w:val="00A501DE"/>
    <w:rsid w:val="00A8157E"/>
    <w:rsid w:val="00A9453A"/>
    <w:rsid w:val="00AC48E5"/>
    <w:rsid w:val="00AD75A5"/>
    <w:rsid w:val="00AD7ED8"/>
    <w:rsid w:val="00AE3A5B"/>
    <w:rsid w:val="00AE7A4D"/>
    <w:rsid w:val="00B02A8C"/>
    <w:rsid w:val="00B0616D"/>
    <w:rsid w:val="00B1396A"/>
    <w:rsid w:val="00B16D32"/>
    <w:rsid w:val="00B21AAB"/>
    <w:rsid w:val="00B21F7C"/>
    <w:rsid w:val="00B26493"/>
    <w:rsid w:val="00B31301"/>
    <w:rsid w:val="00B55456"/>
    <w:rsid w:val="00B7058B"/>
    <w:rsid w:val="00B74E31"/>
    <w:rsid w:val="00B76AA6"/>
    <w:rsid w:val="00B87C0B"/>
    <w:rsid w:val="00BA13BC"/>
    <w:rsid w:val="00BA6803"/>
    <w:rsid w:val="00BB58D0"/>
    <w:rsid w:val="00BC6AF6"/>
    <w:rsid w:val="00BE13CB"/>
    <w:rsid w:val="00C06F86"/>
    <w:rsid w:val="00C35A44"/>
    <w:rsid w:val="00C465BE"/>
    <w:rsid w:val="00C61436"/>
    <w:rsid w:val="00C62976"/>
    <w:rsid w:val="00C711B7"/>
    <w:rsid w:val="00C824FE"/>
    <w:rsid w:val="00C8489E"/>
    <w:rsid w:val="00C90765"/>
    <w:rsid w:val="00C90B39"/>
    <w:rsid w:val="00C954DB"/>
    <w:rsid w:val="00C9604A"/>
    <w:rsid w:val="00C964AE"/>
    <w:rsid w:val="00CA2128"/>
    <w:rsid w:val="00CA57D8"/>
    <w:rsid w:val="00D1050E"/>
    <w:rsid w:val="00D170A7"/>
    <w:rsid w:val="00D31D50"/>
    <w:rsid w:val="00D61CAE"/>
    <w:rsid w:val="00D63DDA"/>
    <w:rsid w:val="00D918C8"/>
    <w:rsid w:val="00DD558F"/>
    <w:rsid w:val="00DE7185"/>
    <w:rsid w:val="00E06B83"/>
    <w:rsid w:val="00E21FDA"/>
    <w:rsid w:val="00E33C6D"/>
    <w:rsid w:val="00E35968"/>
    <w:rsid w:val="00E5296C"/>
    <w:rsid w:val="00E82875"/>
    <w:rsid w:val="00EB1927"/>
    <w:rsid w:val="00EB37C9"/>
    <w:rsid w:val="00EB3E7D"/>
    <w:rsid w:val="00F03559"/>
    <w:rsid w:val="00F21E48"/>
    <w:rsid w:val="00F346E9"/>
    <w:rsid w:val="00F40CEE"/>
    <w:rsid w:val="00F47BE2"/>
    <w:rsid w:val="00F50ECD"/>
    <w:rsid w:val="00F64F7A"/>
    <w:rsid w:val="00F65710"/>
    <w:rsid w:val="00F70291"/>
    <w:rsid w:val="00F717EB"/>
    <w:rsid w:val="00F91C36"/>
    <w:rsid w:val="00FD0313"/>
    <w:rsid w:val="00FE31D8"/>
    <w:rsid w:val="00FF4DC9"/>
    <w:rsid w:val="0DCB4249"/>
    <w:rsid w:val="140E3B42"/>
    <w:rsid w:val="295D5034"/>
    <w:rsid w:val="2A916A08"/>
    <w:rsid w:val="2C6A3CA0"/>
    <w:rsid w:val="46B171E5"/>
    <w:rsid w:val="46D400F9"/>
    <w:rsid w:val="47171571"/>
    <w:rsid w:val="4C18407A"/>
    <w:rsid w:val="572D20AB"/>
    <w:rsid w:val="6225525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9"/>
    <w:semiHidden/>
    <w:qFormat/>
    <w:uiPriority w:val="99"/>
    <w:pPr>
      <w:shd w:val="clear" w:color="auto" w:fill="000080"/>
    </w:pPr>
  </w:style>
  <w:style w:type="paragraph" w:styleId="3">
    <w:name w:val="Date"/>
    <w:basedOn w:val="1"/>
    <w:next w:val="1"/>
    <w:link w:val="16"/>
    <w:semiHidden/>
    <w:qFormat/>
    <w:uiPriority w:val="99"/>
    <w:pPr>
      <w:ind w:left="100" w:leftChars="2500"/>
    </w:pPr>
  </w:style>
  <w:style w:type="paragraph" w:styleId="4">
    <w:name w:val="Balloon Text"/>
    <w:basedOn w:val="1"/>
    <w:link w:val="17"/>
    <w:semiHidden/>
    <w:qFormat/>
    <w:uiPriority w:val="99"/>
    <w:pPr>
      <w:spacing w:after="0"/>
    </w:pPr>
    <w:rPr>
      <w:sz w:val="18"/>
      <w:szCs w:val="18"/>
    </w:rPr>
  </w:style>
  <w:style w:type="paragraph" w:styleId="5">
    <w:name w:val="footer"/>
    <w:basedOn w:val="1"/>
    <w:link w:val="15"/>
    <w:semiHidden/>
    <w:uiPriority w:val="99"/>
    <w:pPr>
      <w:tabs>
        <w:tab w:val="center" w:pos="4153"/>
        <w:tab w:val="right" w:pos="8306"/>
      </w:tabs>
    </w:pPr>
    <w:rPr>
      <w:sz w:val="18"/>
      <w:szCs w:val="18"/>
    </w:rPr>
  </w:style>
  <w:style w:type="paragraph" w:styleId="6">
    <w:name w:val="header"/>
    <w:basedOn w:val="1"/>
    <w:link w:val="14"/>
    <w:semiHidden/>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FollowedHyperlink"/>
    <w:basedOn w:val="10"/>
    <w:semiHidden/>
    <w:qFormat/>
    <w:uiPriority w:val="99"/>
    <w:rPr>
      <w:rFonts w:cs="Times New Roman"/>
      <w:color w:val="800080"/>
      <w:u w:val="single"/>
    </w:rPr>
  </w:style>
  <w:style w:type="character" w:styleId="13">
    <w:name w:val="Hyperlink"/>
    <w:basedOn w:val="10"/>
    <w:qFormat/>
    <w:uiPriority w:val="99"/>
    <w:rPr>
      <w:rFonts w:cs="Times New Roman"/>
      <w:color w:val="0000FF"/>
      <w:u w:val="single"/>
    </w:rPr>
  </w:style>
  <w:style w:type="character" w:customStyle="1" w:styleId="14">
    <w:name w:val="Header Char"/>
    <w:basedOn w:val="10"/>
    <w:link w:val="6"/>
    <w:semiHidden/>
    <w:qFormat/>
    <w:locked/>
    <w:uiPriority w:val="99"/>
    <w:rPr>
      <w:rFonts w:ascii="Tahoma" w:hAnsi="Tahoma" w:cs="Times New Roman"/>
      <w:sz w:val="18"/>
      <w:szCs w:val="18"/>
    </w:rPr>
  </w:style>
  <w:style w:type="character" w:customStyle="1" w:styleId="15">
    <w:name w:val="Footer Char"/>
    <w:basedOn w:val="10"/>
    <w:link w:val="5"/>
    <w:semiHidden/>
    <w:qFormat/>
    <w:locked/>
    <w:uiPriority w:val="99"/>
    <w:rPr>
      <w:rFonts w:ascii="Tahoma" w:hAnsi="Tahoma" w:cs="Times New Roman"/>
      <w:sz w:val="18"/>
      <w:szCs w:val="18"/>
    </w:rPr>
  </w:style>
  <w:style w:type="character" w:customStyle="1" w:styleId="16">
    <w:name w:val="Date Char"/>
    <w:basedOn w:val="10"/>
    <w:link w:val="3"/>
    <w:semiHidden/>
    <w:qFormat/>
    <w:locked/>
    <w:uiPriority w:val="99"/>
    <w:rPr>
      <w:rFonts w:ascii="Tahoma" w:hAnsi="Tahoma" w:cs="Times New Roman"/>
    </w:rPr>
  </w:style>
  <w:style w:type="character" w:customStyle="1" w:styleId="17">
    <w:name w:val="Balloon Text Char"/>
    <w:basedOn w:val="10"/>
    <w:link w:val="4"/>
    <w:semiHidden/>
    <w:locked/>
    <w:uiPriority w:val="99"/>
    <w:rPr>
      <w:rFonts w:ascii="Tahoma" w:hAnsi="Tahoma" w:cs="Times New Roman"/>
      <w:sz w:val="18"/>
      <w:szCs w:val="18"/>
    </w:rPr>
  </w:style>
  <w:style w:type="paragraph" w:customStyle="1" w:styleId="18">
    <w:name w:val="Char Char Char Char"/>
    <w:basedOn w:val="2"/>
    <w:qFormat/>
    <w:uiPriority w:val="99"/>
    <w:pPr>
      <w:widowControl w:val="0"/>
      <w:adjustRightInd/>
      <w:snapToGrid/>
      <w:spacing w:after="0"/>
      <w:jc w:val="both"/>
    </w:pPr>
    <w:rPr>
      <w:rFonts w:ascii="宋体" w:hAnsi="宋体" w:eastAsia="宋体"/>
      <w:color w:val="000000"/>
      <w:kern w:val="2"/>
      <w:sz w:val="21"/>
      <w:szCs w:val="20"/>
    </w:rPr>
  </w:style>
  <w:style w:type="character" w:customStyle="1" w:styleId="19">
    <w:name w:val="Document Map Char"/>
    <w:basedOn w:val="10"/>
    <w:link w:val="2"/>
    <w:semiHidden/>
    <w:qFormat/>
    <w:locked/>
    <w:uiPriority w:val="99"/>
    <w:rPr>
      <w:rFonts w:ascii="Times New Roman" w:hAnsi="Times New Roman" w:cs="Times New Roman"/>
      <w:kern w:val="0"/>
      <w:sz w:val="2"/>
    </w:rPr>
  </w:style>
  <w:style w:type="character" w:customStyle="1" w:styleId="20">
    <w:name w:val="页眉 Char"/>
    <w:basedOn w:val="10"/>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Pages>
  <Words>2378</Words>
  <Characters>2456</Characters>
  <Lines>0</Lines>
  <Paragraphs>0</Paragraphs>
  <TotalTime>100</TotalTime>
  <ScaleCrop>false</ScaleCrop>
  <LinksUpToDate>false</LinksUpToDate>
  <CharactersWithSpaces>2458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2020-07-06T01:28:00Z</dcterms:created>
  <dc:creator>让爱作主</dc:creator>
  <cp:lastModifiedBy>Administrator</cp:lastModifiedBy>
  <cp:lastPrinted>2018-07-06T09:15:00Z</cp:lastPrinted>
  <dcterms:modified xsi:type="dcterms:W3CDTF">2022-09-13T03:07:44Z</dcterms:modified>
  <dc:title>常宁市财政局关于做好2016年度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B00F213AF8A247FD9533C672CBFAE262</vt:lpwstr>
  </property>
</Properties>
</file>