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ind w:firstLine="883" w:firstLineChars="200"/>
        <w:jc w:val="center"/>
        <w:rPr>
          <w:rFonts w:ascii="仿宋" w:hAnsi="仿宋" w:eastAsia="仿宋"/>
          <w:b/>
          <w:color w:val="383838"/>
          <w:sz w:val="44"/>
          <w:shd w:val="clear" w:color="auto" w:fill="FFFFFF"/>
        </w:rPr>
      </w:pPr>
    </w:p>
    <w:p>
      <w:pPr>
        <w:shd w:val="solid" w:color="FFFFFF" w:fill="auto"/>
        <w:autoSpaceDN w:val="0"/>
        <w:ind w:firstLine="883" w:firstLineChars="200"/>
        <w:jc w:val="center"/>
        <w:rPr>
          <w:rFonts w:ascii="仿宋" w:hAnsi="仿宋" w:eastAsia="仿宋"/>
          <w:b/>
          <w:color w:val="383838"/>
          <w:sz w:val="44"/>
          <w:shd w:val="clear" w:color="auto" w:fill="FFFFFF"/>
        </w:rPr>
      </w:pPr>
      <w:r>
        <w:rPr>
          <w:rFonts w:ascii="仿宋" w:hAnsi="仿宋" w:eastAsia="仿宋"/>
          <w:b/>
          <w:color w:val="383838"/>
          <w:sz w:val="44"/>
          <w:shd w:val="clear" w:color="auto" w:fill="FFFFFF"/>
        </w:rPr>
        <w:t>常宁市</w:t>
      </w:r>
      <w:r>
        <w:rPr>
          <w:rFonts w:hint="eastAsia" w:ascii="仿宋" w:hAnsi="仿宋" w:eastAsia="仿宋"/>
          <w:b/>
          <w:color w:val="383838"/>
          <w:sz w:val="44"/>
          <w:shd w:val="clear" w:color="auto" w:fill="FFFFFF"/>
        </w:rPr>
        <w:t>弥泉国有林场</w:t>
      </w:r>
      <w:r>
        <w:rPr>
          <w:rFonts w:hint="eastAsia" w:ascii="仿宋" w:hAnsi="仿宋" w:eastAsia="仿宋"/>
          <w:b/>
          <w:color w:val="383838"/>
          <w:sz w:val="44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/>
          <w:b/>
          <w:color w:val="383838"/>
          <w:sz w:val="44"/>
          <w:shd w:val="clear" w:color="auto" w:fill="FFFFFF"/>
        </w:rPr>
        <w:t>年度</w:t>
      </w:r>
    </w:p>
    <w:p>
      <w:pPr>
        <w:shd w:val="solid" w:color="FFFFFF" w:fill="auto"/>
        <w:autoSpaceDN w:val="0"/>
        <w:ind w:firstLine="883" w:firstLineChars="200"/>
        <w:jc w:val="center"/>
        <w:rPr>
          <w:rFonts w:ascii="仿宋" w:hAnsi="仿宋" w:eastAsia="仿宋"/>
          <w:b/>
          <w:color w:val="383838"/>
          <w:sz w:val="44"/>
          <w:shd w:val="clear" w:color="auto" w:fill="FFFFFF"/>
        </w:rPr>
      </w:pPr>
      <w:r>
        <w:rPr>
          <w:rFonts w:ascii="仿宋" w:hAnsi="仿宋" w:eastAsia="仿宋"/>
          <w:b/>
          <w:color w:val="383838"/>
          <w:sz w:val="44"/>
          <w:shd w:val="clear" w:color="auto" w:fill="FFFFFF"/>
        </w:rPr>
        <w:t>整体</w:t>
      </w:r>
      <w:r>
        <w:rPr>
          <w:rFonts w:hint="eastAsia" w:ascii="仿宋" w:hAnsi="仿宋" w:eastAsia="仿宋"/>
          <w:b/>
          <w:color w:val="383838"/>
          <w:sz w:val="44"/>
          <w:shd w:val="clear" w:color="auto" w:fill="FFFFFF"/>
        </w:rPr>
        <w:t>预算</w:t>
      </w:r>
      <w:r>
        <w:rPr>
          <w:rFonts w:ascii="仿宋" w:hAnsi="仿宋" w:eastAsia="仿宋"/>
          <w:b/>
          <w:color w:val="383838"/>
          <w:sz w:val="44"/>
          <w:shd w:val="clear" w:color="auto" w:fill="FFFFFF"/>
        </w:rPr>
        <w:t>支出绩效评价报告</w:t>
      </w:r>
    </w:p>
    <w:p>
      <w:pPr>
        <w:shd w:val="solid" w:color="FFFFFF" w:fill="auto"/>
        <w:autoSpaceDN w:val="0"/>
        <w:ind w:firstLine="883" w:firstLineChars="200"/>
        <w:jc w:val="center"/>
        <w:rPr>
          <w:rFonts w:ascii="仿宋" w:hAnsi="仿宋" w:eastAsia="仿宋"/>
          <w:b/>
          <w:color w:val="383838"/>
          <w:sz w:val="44"/>
          <w:shd w:val="clear" w:color="auto" w:fill="FFFFFF"/>
        </w:rPr>
      </w:pPr>
    </w:p>
    <w:p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为了进一步规范财政资金管理，切实提高财政资金使用效益，根据市财政局《关于项目支出和部门整体支出绩效评价的通知》要求，现将常宁市弥泉国有林场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年度财政资金绩效评价工作有关情况报告如下：</w:t>
      </w:r>
    </w:p>
    <w:p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一、常宁市弥泉国有林场概况</w:t>
      </w:r>
    </w:p>
    <w:p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（一）、部门职能职责</w:t>
      </w:r>
    </w:p>
    <w:p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常宁市弥泉国有林场是我市一类公益性全额拨款事业单位，其宗旨和业务范围是依法保护和合理利用森林资源，维护国家生态安全和木材安全，开展森林资源调查建立森林资源档案，森林防火等森林资源保护和林政执法，林木产品经营销售、林场经营范围内特色种植养殖，休闲旅游等各种资源的合理开发及利用。</w:t>
      </w:r>
    </w:p>
    <w:p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相关职能：1、 维护职工合法权益，这是工会基本职能。2、建设职能，培育和组织职工参加经济建设。3、参与职能，发挥职工参政议政职能。4、教育职能，帮助职工不断提高思想政治职能 。</w:t>
      </w:r>
    </w:p>
    <w:p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（二）、部门预算单位构成</w:t>
      </w:r>
    </w:p>
    <w:p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根据编委核定，我单位内设股室 4个，下辖三个非独立核算管理区，林场在职职工12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人，纳入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年部门预算编制范围。</w:t>
      </w:r>
    </w:p>
    <w:p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内设股室分别是：护林管理股、生产经营股、计划财务股，办公室。</w:t>
      </w:r>
    </w:p>
    <w:p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所辖三个管理区分别是：方家桥管理区、铜钟岭管理区、赵家排管理区。</w:t>
      </w:r>
    </w:p>
    <w:p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 xml:space="preserve">二、部门整体支出管理及使用情况 </w:t>
      </w:r>
    </w:p>
    <w:p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我场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年度总收入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2249.57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万元，其中财政拨款收入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1634.27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</w:t>
      </w:r>
      <w:r>
        <w:rPr>
          <w:rFonts w:hint="eastAsia" w:ascii="宋体" w:hAnsi="宋体" w:cs="Helvetica"/>
          <w:bCs/>
          <w:color w:val="383838"/>
          <w:kern w:val="0"/>
          <w:sz w:val="28"/>
          <w:szCs w:val="28"/>
        </w:rPr>
        <w:t>其它收入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615.30</w:t>
      </w:r>
      <w:r>
        <w:rPr>
          <w:rFonts w:hint="eastAsia" w:ascii="宋体" w:hAnsi="宋体" w:cs="Helvetica"/>
          <w:bCs/>
          <w:color w:val="383838"/>
          <w:kern w:val="0"/>
          <w:sz w:val="28"/>
          <w:szCs w:val="28"/>
        </w:rPr>
        <w:t>万元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。总支出</w:t>
      </w: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2249.57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万元，其中人员经费支出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983.67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万元，日常公用经费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119.71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万元，项目支出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1146.19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万元。</w:t>
      </w:r>
    </w:p>
    <w:p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1、基本支出</w:t>
      </w:r>
    </w:p>
    <w:p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基本支出主要是用于人员经费和日常公用经费。基本支出总计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val="en-US" w:eastAsia="zh-CN"/>
        </w:rPr>
        <w:t>1103.38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万元，其中，人员经费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983.67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万元，日常公用经费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119.71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元。</w:t>
      </w:r>
    </w:p>
    <w:p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2、项目支出</w:t>
      </w:r>
    </w:p>
    <w:p>
      <w:pPr>
        <w:shd w:val="solid" w:color="FFFFFF" w:fill="auto"/>
        <w:autoSpaceDN w:val="0"/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本部门项目资金均来源于财政资金，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年项目支出总计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1146.19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 xml:space="preserve">万元。 </w:t>
      </w:r>
    </w:p>
    <w:p>
      <w:pPr>
        <w:shd w:val="solid" w:color="FFFFFF" w:fill="auto"/>
        <w:autoSpaceDN w:val="0"/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三、整体主要绩效及评价结论：</w:t>
      </w:r>
      <w:bookmarkStart w:id="0" w:name="_GoBack"/>
      <w:bookmarkEnd w:id="0"/>
    </w:p>
    <w:p>
      <w:pPr>
        <w:shd w:val="solid" w:color="FFFFFF" w:fill="auto"/>
        <w:autoSpaceDN w:val="0"/>
        <w:ind w:firstLine="602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0"/>
          <w:szCs w:val="30"/>
          <w:shd w:val="clear" w:color="auto" w:fill="FFFFFF"/>
        </w:rPr>
        <w:t>（一）绩效评价目的。</w:t>
      </w:r>
    </w:p>
    <w:p>
      <w:pPr>
        <w:shd w:val="solid" w:color="FFFFFF" w:fill="auto"/>
        <w:autoSpaceDN w:val="0"/>
        <w:ind w:firstLine="600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一是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依法保护和合理利用森林资源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。二是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维护国家生态安全和木材安全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。三是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开展森林资源调查建立森林资源档案；四是森林防火等森林资源保护和林政执法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。</w:t>
      </w:r>
    </w:p>
    <w:p>
      <w:pPr>
        <w:shd w:val="solid" w:color="FFFFFF" w:fill="auto"/>
        <w:autoSpaceDN w:val="0"/>
        <w:ind w:firstLine="602" w:firstLineChars="200"/>
        <w:rPr>
          <w:rFonts w:ascii="仿宋" w:hAnsi="仿宋" w:eastAsia="仿宋"/>
          <w:b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0"/>
          <w:szCs w:val="30"/>
          <w:shd w:val="clear" w:color="auto" w:fill="FFFFFF"/>
        </w:rPr>
        <w:t>（二）、综合评价情况及评价结论</w:t>
      </w:r>
    </w:p>
    <w:p>
      <w:pPr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 xml:space="preserve">按照我市财政项目支出绩效自评工作的要求，结合林场的实际，组织相关人员根据我场的综合情况选用评价指标和评分标准，认真进行核实和考评。 </w:t>
      </w:r>
    </w:p>
    <w:p>
      <w:pPr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 xml:space="preserve">项目绩效评价工作开展情况 整个绩效评价体系包括三个指标：投入、过程和产出与效益。 1、“投入”主要体现项目立项和资金落实情况。例如，项目立项规范性、绩效目标合理性、项目设计合理性、资金到位率、到位及时率等项目投入情况的指标。 2、“过程”主要体现业务管理和财务管理。重点考核管理制度建立健全性、制度执行有效性、项目质量可控性、财务管理制度健全性、资金使用合规性。 3、“产出和效益”主要体现项目实施后的项目产出和项目效益。主要是考核主要工作量完成率、完成及时率、工作质量达标率、成本节约率、社会效益和可持续影响。 </w:t>
      </w:r>
    </w:p>
    <w:p>
      <w:pPr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项目绩效目标完成情况： 1、时效目标：12月份前项目资金全部到位，资金到位及时率达100%，已达到绩效目标。 2、成本目标：全年所有干部职工的工资福利及各项保险实现全覆盖，目标值完成比例达100%，已达到绩效目标。 3、社会效益目标：按计划完成全年苗木种植及森林抚育、防火等目标，确保了林场的社会和谐稳定和长治久安，已达到绩效目标。</w:t>
      </w:r>
    </w:p>
    <w:p>
      <w:pPr>
        <w:ind w:firstLine="64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 xml:space="preserve">绩效目标分析： 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  <w:lang w:eastAsia="zh-CN"/>
        </w:rPr>
        <w:t>2022</w:t>
      </w:r>
      <w:r>
        <w:rPr>
          <w:rFonts w:hint="eastAsia" w:ascii="仿宋" w:hAnsi="仿宋" w:eastAsia="仿宋"/>
          <w:bCs/>
          <w:color w:val="383838"/>
          <w:sz w:val="32"/>
          <w:shd w:val="clear" w:color="auto" w:fill="FFFFFF"/>
        </w:rPr>
        <w:t>年，林场深入贯彻国有林场改革方案，充分发挥专项资金的作用，通过科学规范地使用和监管筹措到的财政专项资金，提高资金的使用效率，取得了显著成效，圆满完成了全年工作目标。</w:t>
      </w:r>
    </w:p>
    <w:p>
      <w:pPr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四、存在的主要问题　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1、部分进入林区人员防火意识不强。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2、林政管理人员对森林违法行为处置时效性不强，处置力度不强。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3、林场职工编制问题一直没有按照国有林场改革的要求得到解决。</w:t>
      </w:r>
    </w:p>
    <w:p>
      <w:pPr>
        <w:widowControl/>
        <w:spacing w:line="450" w:lineRule="atLeast"/>
        <w:ind w:firstLine="56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4、是预算完成率有待提高，预算完成率仍有提高空间；</w:t>
      </w:r>
    </w:p>
    <w:p>
      <w:pPr>
        <w:widowControl/>
        <w:spacing w:line="450" w:lineRule="atLeast"/>
        <w:ind w:firstLine="56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5、是预算准确率有待提高，预算项目存在超过或节约的现象。</w:t>
      </w:r>
    </w:p>
    <w:p>
      <w:pPr>
        <w:ind w:firstLine="640" w:firstLineChars="200"/>
        <w:rPr>
          <w:rFonts w:ascii="仿宋" w:hAnsi="仿宋" w:eastAsia="仿宋" w:cs="Arial"/>
          <w:bCs/>
          <w:color w:val="333333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需要进一步加入森林培育，防火等资金的投入，确保2、城建档案设施设备有限，城建档案信息化的管理工作难以进行</w:t>
      </w:r>
      <w:r>
        <w:rPr>
          <w:rFonts w:ascii="仿宋" w:hAnsi="仿宋" w:eastAsia="仿宋" w:cs="Arial"/>
          <w:bCs/>
          <w:color w:val="333333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color w:val="383838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color w:val="383838"/>
          <w:sz w:val="32"/>
          <w:shd w:val="clear" w:color="auto" w:fill="FFFFFF"/>
        </w:rPr>
        <w:t>五、建议</w:t>
      </w:r>
    </w:p>
    <w:p>
      <w:pPr>
        <w:ind w:firstLine="560" w:firstLineChars="20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  <w:r>
        <w:rPr>
          <w:rFonts w:ascii="仿宋" w:hAnsi="仿宋" w:eastAsia="仿宋" w:cs="Arial"/>
          <w:bCs/>
          <w:color w:val="333333"/>
          <w:kern w:val="0"/>
          <w:sz w:val="28"/>
          <w:szCs w:val="28"/>
        </w:rPr>
        <w:t>1</w:t>
      </w: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、进</w:t>
      </w:r>
      <w:r>
        <w:rPr>
          <w:rFonts w:hint="eastAsia" w:ascii="仿宋" w:hAnsi="仿宋" w:eastAsia="仿宋"/>
          <w:bCs/>
          <w:sz w:val="32"/>
          <w:szCs w:val="32"/>
        </w:rPr>
        <w:t>一步加入森林培育，防火等资金的投入，确保森林资源的可持续性发展和森林资源的安全。</w:t>
      </w:r>
    </w:p>
    <w:p>
      <w:pPr>
        <w:widowControl/>
        <w:spacing w:after="150"/>
        <w:ind w:firstLine="560" w:firstLineChars="200"/>
        <w:jc w:val="left"/>
        <w:rPr>
          <w:rFonts w:ascii="仿宋" w:hAnsi="仿宋" w:eastAsia="仿宋" w:cs="Arial"/>
          <w:bCs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bCs/>
          <w:color w:val="333333"/>
          <w:kern w:val="0"/>
          <w:sz w:val="28"/>
          <w:szCs w:val="28"/>
        </w:rPr>
        <w:t>2. 加大</w:t>
      </w: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专项</w:t>
      </w:r>
      <w:r>
        <w:rPr>
          <w:rFonts w:ascii="仿宋" w:hAnsi="仿宋" w:eastAsia="仿宋" w:cs="Arial"/>
          <w:bCs/>
          <w:color w:val="333333"/>
          <w:kern w:val="0"/>
          <w:sz w:val="28"/>
          <w:szCs w:val="28"/>
        </w:rPr>
        <w:t>项目实施进度，及时跟进项目推进信息，提高执行效率。</w:t>
      </w:r>
    </w:p>
    <w:p>
      <w:pPr>
        <w:widowControl/>
        <w:spacing w:after="150"/>
        <w:ind w:firstLine="560" w:firstLineChars="200"/>
        <w:jc w:val="left"/>
        <w:rPr>
          <w:rFonts w:ascii="仿宋" w:hAnsi="仿宋" w:eastAsia="仿宋" w:cs="Arial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3、进一步巩固国有林场改革成果，解决好历史遗留问题，促进林场持续健康发展。</w:t>
      </w:r>
    </w:p>
    <w:p>
      <w:pPr>
        <w:widowControl/>
        <w:spacing w:after="150"/>
        <w:ind w:firstLine="560" w:firstLineChars="200"/>
        <w:jc w:val="left"/>
        <w:rPr>
          <w:rFonts w:ascii="仿宋" w:hAnsi="仿宋" w:eastAsia="仿宋" w:cs="Arial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4、是尽可能减少年底结余资金，以有效提高预算完成率。</w:t>
      </w:r>
    </w:p>
    <w:p>
      <w:pPr>
        <w:widowControl/>
        <w:spacing w:after="150"/>
        <w:ind w:firstLine="560" w:firstLineChars="200"/>
        <w:jc w:val="left"/>
        <w:rPr>
          <w:rFonts w:ascii="仿宋" w:hAnsi="仿宋" w:eastAsia="仿宋" w:cs="Arial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color w:val="333333"/>
          <w:kern w:val="0"/>
          <w:sz w:val="28"/>
          <w:szCs w:val="28"/>
        </w:rPr>
        <w:t>5、是合理安排预算支持计划，避免超额支出的情况，以加强预算的控制。</w:t>
      </w:r>
    </w:p>
    <w:p>
      <w:pPr>
        <w:ind w:firstLine="600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 xml:space="preserve">                               常宁市弥泉国有林场</w:t>
      </w:r>
    </w:p>
    <w:p>
      <w:pPr>
        <w:ind w:firstLine="600" w:firstLineChars="200"/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 xml:space="preserve">                                202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年</w:t>
      </w:r>
      <w:r>
        <w:rPr>
          <w:rFonts w:ascii="仿宋" w:hAnsi="仿宋" w:eastAsia="仿宋"/>
          <w:bCs/>
          <w:color w:val="383838"/>
          <w:sz w:val="30"/>
          <w:szCs w:val="30"/>
          <w:shd w:val="clear" w:color="auto" w:fill="FFFFFF"/>
        </w:rPr>
        <w:t>8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月2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bCs/>
          <w:color w:val="383838"/>
          <w:sz w:val="30"/>
          <w:szCs w:val="30"/>
          <w:shd w:val="clear" w:color="auto" w:fill="FFFFFF"/>
        </w:rPr>
        <w:t>日</w:t>
      </w:r>
    </w:p>
    <w:p>
      <w:pPr>
        <w:ind w:firstLine="420" w:firstLineChars="200"/>
        <w:rPr>
          <w:rFonts w:ascii="仿宋" w:hAnsi="仿宋" w:eastAsia="仿宋"/>
          <w:bCs/>
        </w:rPr>
      </w:pPr>
    </w:p>
    <w:p>
      <w:pPr>
        <w:shd w:val="solid" w:color="FFFFFF" w:fill="auto"/>
        <w:autoSpaceDN w:val="0"/>
        <w:rPr>
          <w:rFonts w:ascii="仿宋" w:hAnsi="仿宋" w:eastAsia="仿宋"/>
          <w:bCs/>
          <w:color w:val="383838"/>
          <w:sz w:val="32"/>
          <w:shd w:val="clear" w:color="auto" w:fill="FFFFFF"/>
        </w:rPr>
      </w:pP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0MzlkZTJlN2NmYWJiNDQxMjE2OTUyOGY0M2Y1ZTMifQ=="/>
  </w:docVars>
  <w:rsids>
    <w:rsidRoot w:val="004316B4"/>
    <w:rsid w:val="00001223"/>
    <w:rsid w:val="0008311B"/>
    <w:rsid w:val="000D0051"/>
    <w:rsid w:val="00223B87"/>
    <w:rsid w:val="002863EB"/>
    <w:rsid w:val="003011B3"/>
    <w:rsid w:val="00304A9E"/>
    <w:rsid w:val="003F5B08"/>
    <w:rsid w:val="0042208F"/>
    <w:rsid w:val="004316B4"/>
    <w:rsid w:val="00462659"/>
    <w:rsid w:val="00480BC7"/>
    <w:rsid w:val="004F4251"/>
    <w:rsid w:val="0054088C"/>
    <w:rsid w:val="0056472B"/>
    <w:rsid w:val="005920F5"/>
    <w:rsid w:val="005A08F1"/>
    <w:rsid w:val="005B3905"/>
    <w:rsid w:val="005E54E4"/>
    <w:rsid w:val="006702C5"/>
    <w:rsid w:val="00686911"/>
    <w:rsid w:val="006C1A38"/>
    <w:rsid w:val="006C43B8"/>
    <w:rsid w:val="006F0FEC"/>
    <w:rsid w:val="00706AFF"/>
    <w:rsid w:val="00727043"/>
    <w:rsid w:val="00753617"/>
    <w:rsid w:val="00765EAA"/>
    <w:rsid w:val="007F0C5C"/>
    <w:rsid w:val="00811CB1"/>
    <w:rsid w:val="00814133"/>
    <w:rsid w:val="00815CBE"/>
    <w:rsid w:val="008B62DA"/>
    <w:rsid w:val="008D2AAC"/>
    <w:rsid w:val="008F17B7"/>
    <w:rsid w:val="00936FF8"/>
    <w:rsid w:val="00986FDE"/>
    <w:rsid w:val="00996BD6"/>
    <w:rsid w:val="00A238CA"/>
    <w:rsid w:val="00AA71CF"/>
    <w:rsid w:val="00AA7A54"/>
    <w:rsid w:val="00AC3CE7"/>
    <w:rsid w:val="00B8367A"/>
    <w:rsid w:val="00BD23E3"/>
    <w:rsid w:val="00BF010A"/>
    <w:rsid w:val="00BF54EF"/>
    <w:rsid w:val="00C063C3"/>
    <w:rsid w:val="00C06BAD"/>
    <w:rsid w:val="00C6707A"/>
    <w:rsid w:val="00C91257"/>
    <w:rsid w:val="00D50142"/>
    <w:rsid w:val="00D773E8"/>
    <w:rsid w:val="00DD49A3"/>
    <w:rsid w:val="00DE3534"/>
    <w:rsid w:val="00DF74C0"/>
    <w:rsid w:val="00E22ECC"/>
    <w:rsid w:val="00E32EA6"/>
    <w:rsid w:val="00EC23C2"/>
    <w:rsid w:val="00ED2D46"/>
    <w:rsid w:val="00EE1526"/>
    <w:rsid w:val="00EE6698"/>
    <w:rsid w:val="00F24A25"/>
    <w:rsid w:val="00F96E27"/>
    <w:rsid w:val="00FB07D6"/>
    <w:rsid w:val="00FC39FA"/>
    <w:rsid w:val="09AF06EE"/>
    <w:rsid w:val="0CC3393E"/>
    <w:rsid w:val="0F6B7BF9"/>
    <w:rsid w:val="22D8632D"/>
    <w:rsid w:val="243C5F02"/>
    <w:rsid w:val="2D4F07D0"/>
    <w:rsid w:val="2FBF674A"/>
    <w:rsid w:val="32906330"/>
    <w:rsid w:val="3B1F319A"/>
    <w:rsid w:val="45052A2A"/>
    <w:rsid w:val="5D5A7066"/>
    <w:rsid w:val="74DF3B52"/>
    <w:rsid w:val="7EA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9"/>
    <w:rPr>
      <w:b/>
      <w:bCs/>
      <w:sz w:val="32"/>
      <w:szCs w:val="32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913453-DE14-4B52-8ED0-2DFFF199DD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5</Pages>
  <Words>287</Words>
  <Characters>1642</Characters>
  <Lines>13</Lines>
  <Paragraphs>3</Paragraphs>
  <TotalTime>1</TotalTime>
  <ScaleCrop>false</ScaleCrop>
  <LinksUpToDate>false</LinksUpToDate>
  <CharactersWithSpaces>1926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2019-06-21T08:26:00Z</dcterms:created>
  <dc:creator>Administrator</dc:creator>
  <cp:lastModifiedBy>Administrator</cp:lastModifiedBy>
  <cp:lastPrinted>2019-07-08T08:32:00Z</cp:lastPrinted>
  <dcterms:modified xsi:type="dcterms:W3CDTF">2023-08-29T03:12:20Z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07BDF2415A7647EA9F0B8EBC6A504525_12</vt:lpwstr>
  </property>
</Properties>
</file>