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ind w:firstLine="1807" w:firstLineChars="500"/>
        <w:jc w:val="both"/>
        <w:rPr>
          <w:rFonts w:hint="eastAsia" w:ascii="宋体" w:hAnsi="宋体" w:eastAsia="宋体" w:cs="宋体"/>
          <w:b/>
          <w:bCs/>
          <w:color w:val="333333"/>
          <w:kern w:val="0"/>
          <w:sz w:val="36"/>
          <w:szCs w:val="36"/>
        </w:rPr>
      </w:pPr>
      <w:r>
        <w:rPr>
          <w:rFonts w:hint="eastAsia" w:ascii="宋体" w:hAnsi="宋体" w:eastAsia="宋体" w:cs="宋体"/>
          <w:b/>
          <w:bCs/>
          <w:color w:val="333333"/>
          <w:kern w:val="0"/>
          <w:sz w:val="36"/>
          <w:szCs w:val="36"/>
          <w:lang w:eastAsia="zh-CN"/>
        </w:rPr>
        <w:t>常宁市</w:t>
      </w:r>
      <w:r>
        <w:rPr>
          <w:rFonts w:hint="eastAsia" w:ascii="宋体" w:hAnsi="宋体" w:eastAsia="宋体" w:cs="宋体"/>
          <w:b/>
          <w:bCs/>
          <w:color w:val="333333"/>
          <w:kern w:val="0"/>
          <w:sz w:val="36"/>
          <w:szCs w:val="36"/>
        </w:rPr>
        <w:t>重点建设项目事务中心</w:t>
      </w:r>
    </w:p>
    <w:p>
      <w:pPr>
        <w:widowControl/>
        <w:shd w:val="clear" w:color="auto" w:fill="FFFFFF"/>
        <w:spacing w:line="480" w:lineRule="auto"/>
        <w:ind w:firstLine="1446" w:firstLineChars="400"/>
        <w:jc w:val="both"/>
        <w:rPr>
          <w:rFonts w:hint="eastAsia" w:ascii="宋体" w:hAnsi="宋体" w:eastAsia="宋体" w:cs="宋体"/>
          <w:b/>
          <w:bCs/>
          <w:color w:val="333333"/>
          <w:kern w:val="0"/>
          <w:sz w:val="44"/>
          <w:szCs w:val="44"/>
        </w:rPr>
      </w:pPr>
      <w:bookmarkStart w:id="0" w:name="_GoBack"/>
      <w:bookmarkEnd w:id="0"/>
      <w:r>
        <w:rPr>
          <w:rFonts w:hint="eastAsia" w:ascii="宋体" w:hAnsi="宋体" w:eastAsia="宋体" w:cs="宋体"/>
          <w:b/>
          <w:bCs/>
          <w:color w:val="333333"/>
          <w:kern w:val="0"/>
          <w:sz w:val="36"/>
          <w:szCs w:val="36"/>
          <w:lang w:eastAsia="zh-CN"/>
        </w:rPr>
        <w:t>202</w:t>
      </w:r>
      <w:r>
        <w:rPr>
          <w:rFonts w:hint="eastAsia" w:ascii="宋体" w:hAnsi="宋体" w:eastAsia="宋体" w:cs="宋体"/>
          <w:b/>
          <w:bCs/>
          <w:color w:val="333333"/>
          <w:kern w:val="0"/>
          <w:sz w:val="36"/>
          <w:szCs w:val="36"/>
          <w:lang w:val="en-US" w:eastAsia="zh-CN"/>
        </w:rPr>
        <w:t>2</w:t>
      </w:r>
      <w:r>
        <w:rPr>
          <w:rFonts w:hint="eastAsia" w:ascii="宋体" w:hAnsi="宋体" w:eastAsia="宋体" w:cs="宋体"/>
          <w:b/>
          <w:bCs/>
          <w:color w:val="333333"/>
          <w:kern w:val="0"/>
          <w:sz w:val="36"/>
          <w:szCs w:val="36"/>
        </w:rPr>
        <w:t>年度整体支出绩效自评报告</w:t>
      </w:r>
    </w:p>
    <w:p>
      <w:pPr>
        <w:widowControl/>
        <w:shd w:val="clear" w:color="auto" w:fill="FFFFFF"/>
        <w:spacing w:line="240" w:lineRule="exact"/>
        <w:ind w:firstLine="200" w:firstLineChars="200"/>
        <w:rPr>
          <w:rFonts w:hint="eastAsia" w:ascii="宋体" w:hAnsi="宋体" w:eastAsia="宋体" w:cs="宋体"/>
          <w:color w:val="333333"/>
          <w:kern w:val="0"/>
          <w:sz w:val="10"/>
          <w:szCs w:val="10"/>
        </w:rPr>
      </w:pPr>
    </w:p>
    <w:p>
      <w:pPr>
        <w:widowControl/>
        <w:shd w:val="clear" w:color="auto" w:fill="FFFFFF"/>
        <w:spacing w:line="480" w:lineRule="auto"/>
        <w:ind w:firstLine="560" w:firstLineChars="200"/>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根据《常宁市关于转发&lt;湖南省预算绩效目标管理办法&gt;的通知》（常财绩[</w:t>
      </w:r>
      <w:r>
        <w:rPr>
          <w:rFonts w:hint="eastAsia" w:ascii="宋体" w:hAnsi="宋体" w:eastAsia="宋体" w:cs="宋体"/>
          <w:color w:val="333333"/>
          <w:kern w:val="0"/>
          <w:sz w:val="28"/>
          <w:szCs w:val="28"/>
          <w:lang w:eastAsia="zh-CN"/>
        </w:rPr>
        <w:t>2021</w:t>
      </w:r>
      <w:r>
        <w:rPr>
          <w:rFonts w:hint="eastAsia" w:ascii="宋体" w:hAnsi="宋体" w:eastAsia="宋体" w:cs="宋体"/>
          <w:color w:val="333333"/>
          <w:kern w:val="0"/>
          <w:sz w:val="28"/>
          <w:szCs w:val="28"/>
        </w:rPr>
        <w:t>]57号）文件精神，我单位对</w:t>
      </w:r>
      <w:r>
        <w:rPr>
          <w:rFonts w:hint="eastAsia" w:ascii="宋体" w:hAnsi="宋体" w:eastAsia="宋体" w:cs="宋体"/>
          <w:color w:val="333333"/>
          <w:kern w:val="0"/>
          <w:sz w:val="28"/>
          <w:szCs w:val="28"/>
          <w:lang w:val="en-US" w:eastAsia="zh-CN"/>
        </w:rPr>
        <w:t>2022</w:t>
      </w:r>
      <w:r>
        <w:rPr>
          <w:rFonts w:hint="eastAsia" w:ascii="宋体" w:hAnsi="宋体" w:eastAsia="宋体" w:cs="宋体"/>
          <w:color w:val="333333"/>
          <w:kern w:val="0"/>
          <w:sz w:val="28"/>
          <w:szCs w:val="28"/>
        </w:rPr>
        <w:t>年整体支出绩效进行了全面综合评价，现将有关情况报告如下：</w:t>
      </w:r>
    </w:p>
    <w:p>
      <w:pPr>
        <w:widowControl/>
        <w:shd w:val="clear" w:color="auto" w:fill="FFFFFF"/>
        <w:spacing w:line="480" w:lineRule="auto"/>
        <w:ind w:firstLine="643" w:firstLineChars="200"/>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一、部门概况</w:t>
      </w:r>
    </w:p>
    <w:p>
      <w:pPr>
        <w:widowControl/>
        <w:shd w:val="clear" w:color="auto" w:fill="FFFFFF"/>
        <w:spacing w:line="480" w:lineRule="auto"/>
        <w:ind w:firstLine="560" w:firstLineChars="200"/>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（一）部门基本情况</w:t>
      </w:r>
    </w:p>
    <w:p>
      <w:pPr>
        <w:widowControl/>
        <w:shd w:val="clear" w:color="auto" w:fill="FFFFFF"/>
        <w:spacing w:line="480" w:lineRule="auto"/>
        <w:ind w:firstLine="560" w:firstLineChars="200"/>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重点建设项目事务中心（原重点工程建设管理办公室）在2017年12月20日经市编办批准成立，为常宁市政府直属正科级公益一类事业单位。主要负责重点建设项目前期推进、重点建设项目协调服务与事务性工作。根据职责，单位内设综合股、项目前期股、项目代建股、项目推进股4个机构。核定全额拨款事业编制12名，目前在编10人。</w:t>
      </w:r>
    </w:p>
    <w:p>
      <w:pPr>
        <w:widowControl/>
        <w:shd w:val="clear" w:color="auto" w:fill="FFFFFF"/>
        <w:spacing w:line="480" w:lineRule="auto"/>
        <w:ind w:firstLine="560" w:firstLineChars="200"/>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w:t>
      </w:r>
      <w:r>
        <w:rPr>
          <w:rFonts w:hint="eastAsia" w:ascii="宋体" w:hAnsi="宋体" w:eastAsia="宋体" w:cs="宋体"/>
          <w:color w:val="333333"/>
          <w:kern w:val="0"/>
          <w:sz w:val="28"/>
          <w:szCs w:val="28"/>
          <w:lang w:eastAsia="zh-CN"/>
        </w:rPr>
        <w:t>202</w:t>
      </w:r>
      <w:r>
        <w:rPr>
          <w:rFonts w:hint="eastAsia" w:ascii="宋体" w:hAnsi="宋体" w:eastAsia="宋体" w:cs="宋体"/>
          <w:color w:val="333333"/>
          <w:kern w:val="0"/>
          <w:sz w:val="28"/>
          <w:szCs w:val="28"/>
          <w:lang w:val="en-US" w:eastAsia="zh-CN"/>
        </w:rPr>
        <w:t>2</w:t>
      </w:r>
      <w:r>
        <w:rPr>
          <w:rFonts w:hint="eastAsia" w:ascii="宋体" w:hAnsi="宋体" w:eastAsia="宋体" w:cs="宋体"/>
          <w:color w:val="333333"/>
          <w:kern w:val="0"/>
          <w:sz w:val="28"/>
          <w:szCs w:val="28"/>
        </w:rPr>
        <w:t>年本部门整体支出规模与使用方向</w:t>
      </w:r>
    </w:p>
    <w:p>
      <w:pPr>
        <w:widowControl/>
        <w:shd w:val="clear" w:color="auto" w:fill="FFFFFF"/>
        <w:spacing w:line="480" w:lineRule="auto"/>
        <w:ind w:firstLine="560" w:firstLineChars="200"/>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eastAsia="zh-CN"/>
        </w:rPr>
        <w:t>202</w:t>
      </w:r>
      <w:r>
        <w:rPr>
          <w:rFonts w:hint="eastAsia" w:ascii="宋体" w:hAnsi="宋体" w:eastAsia="宋体" w:cs="宋体"/>
          <w:color w:val="333333"/>
          <w:kern w:val="0"/>
          <w:sz w:val="28"/>
          <w:szCs w:val="28"/>
          <w:lang w:val="en-US" w:eastAsia="zh-CN"/>
        </w:rPr>
        <w:t>2</w:t>
      </w:r>
      <w:r>
        <w:rPr>
          <w:rFonts w:hint="eastAsia" w:ascii="宋体" w:hAnsi="宋体" w:eastAsia="宋体" w:cs="宋体"/>
          <w:color w:val="333333"/>
          <w:kern w:val="0"/>
          <w:sz w:val="28"/>
          <w:szCs w:val="28"/>
        </w:rPr>
        <w:t>年全年总支出</w:t>
      </w:r>
      <w:r>
        <w:rPr>
          <w:rFonts w:hint="eastAsia" w:cs="宋体"/>
          <w:sz w:val="28"/>
          <w:szCs w:val="28"/>
          <w:lang w:val="en-US" w:eastAsia="zh-CN"/>
        </w:rPr>
        <w:t>159.54</w:t>
      </w:r>
      <w:r>
        <w:rPr>
          <w:rFonts w:hint="eastAsia" w:ascii="宋体" w:hAnsi="宋体" w:eastAsia="宋体" w:cs="宋体"/>
          <w:color w:val="333333"/>
          <w:kern w:val="0"/>
          <w:sz w:val="28"/>
          <w:szCs w:val="28"/>
        </w:rPr>
        <w:t>万元，使用方向和主要内容为基本支出</w:t>
      </w:r>
      <w:r>
        <w:rPr>
          <w:rFonts w:hint="eastAsia" w:ascii="宋体" w:hAnsi="宋体" w:eastAsia="宋体" w:cs="宋体"/>
          <w:color w:val="333333"/>
          <w:kern w:val="0"/>
          <w:sz w:val="28"/>
          <w:szCs w:val="28"/>
          <w:lang w:val="en-US" w:eastAsia="zh-CN"/>
        </w:rPr>
        <w:t>99.44</w:t>
      </w:r>
      <w:r>
        <w:rPr>
          <w:rFonts w:hint="eastAsia" w:ascii="宋体" w:hAnsi="宋体" w:eastAsia="宋体" w:cs="宋体"/>
          <w:color w:val="333333"/>
          <w:kern w:val="0"/>
          <w:sz w:val="28"/>
          <w:szCs w:val="28"/>
        </w:rPr>
        <w:t>万元，</w:t>
      </w:r>
      <w:r>
        <w:rPr>
          <w:rFonts w:hint="eastAsia" w:ascii="宋体" w:hAnsi="宋体" w:eastAsia="宋体" w:cs="宋体"/>
          <w:color w:val="000000"/>
          <w:kern w:val="0"/>
          <w:sz w:val="28"/>
          <w:szCs w:val="28"/>
          <w:lang w:val="en-US" w:eastAsia="zh-CN" w:bidi="ar-SA"/>
        </w:rPr>
        <w:t>占62.33%；项目支出60.10万元，占37.67%</w:t>
      </w:r>
      <w:r>
        <w:rPr>
          <w:rFonts w:hint="eastAsia" w:ascii="宋体" w:hAnsi="宋体" w:eastAsia="宋体" w:cs="宋体"/>
          <w:color w:val="333333"/>
          <w:kern w:val="0"/>
          <w:sz w:val="28"/>
          <w:szCs w:val="28"/>
        </w:rPr>
        <w:t>。</w:t>
      </w:r>
    </w:p>
    <w:p>
      <w:pPr>
        <w:widowControl/>
        <w:shd w:val="clear" w:color="auto" w:fill="FFFFFF"/>
        <w:spacing w:line="480" w:lineRule="auto"/>
        <w:ind w:firstLine="643" w:firstLineChars="200"/>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rPr>
        <w:t>二、部门整体支出自评情况</w:t>
      </w:r>
    </w:p>
    <w:p>
      <w:pPr>
        <w:widowControl/>
        <w:shd w:val="clear" w:color="auto" w:fill="FFFFFF"/>
        <w:spacing w:line="480" w:lineRule="auto"/>
        <w:ind w:firstLine="560" w:firstLineChars="200"/>
        <w:rPr>
          <w:rFonts w:hint="eastAsia" w:ascii="宋体" w:hAnsi="宋体" w:eastAsia="宋体" w:cs="宋体"/>
          <w:b/>
          <w:color w:val="333333"/>
          <w:kern w:val="0"/>
          <w:sz w:val="28"/>
          <w:szCs w:val="28"/>
        </w:rPr>
      </w:pPr>
      <w:r>
        <w:rPr>
          <w:rFonts w:hint="eastAsia" w:ascii="宋体" w:hAnsi="宋体" w:eastAsia="宋体" w:cs="宋体"/>
          <w:color w:val="333333"/>
          <w:kern w:val="0"/>
          <w:sz w:val="28"/>
          <w:szCs w:val="28"/>
        </w:rPr>
        <w:t>（</w:t>
      </w:r>
      <w:r>
        <w:rPr>
          <w:rFonts w:hint="eastAsia" w:ascii="宋体" w:hAnsi="宋体" w:eastAsia="宋体" w:cs="宋体"/>
          <w:b/>
          <w:color w:val="333333"/>
          <w:kern w:val="0"/>
          <w:sz w:val="28"/>
          <w:szCs w:val="28"/>
        </w:rPr>
        <w:t>一）预算配置</w:t>
      </w:r>
    </w:p>
    <w:p>
      <w:pPr>
        <w:widowControl/>
        <w:shd w:val="clear" w:color="auto" w:fill="FFFFFF"/>
        <w:spacing w:line="480" w:lineRule="auto"/>
        <w:ind w:firstLine="560" w:firstLineChars="200"/>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重点建设项目事务中心为全额拨款事业单位，核定编制数12名，实有在编人员10名。</w:t>
      </w:r>
    </w:p>
    <w:p>
      <w:pPr>
        <w:widowControl/>
        <w:shd w:val="clear" w:color="auto" w:fill="FFFFFF"/>
        <w:spacing w:line="480" w:lineRule="auto"/>
        <w:ind w:firstLine="560" w:firstLineChars="200"/>
        <w:rPr>
          <w:rFonts w:hint="eastAsia" w:ascii="宋体" w:hAnsi="宋体" w:eastAsia="宋体" w:cs="宋体"/>
          <w:color w:val="333333"/>
          <w:kern w:val="0"/>
          <w:sz w:val="28"/>
          <w:szCs w:val="28"/>
        </w:rPr>
      </w:pPr>
    </w:p>
    <w:p>
      <w:pPr>
        <w:pStyle w:val="2"/>
        <w:tabs>
          <w:tab w:val="left" w:pos="420"/>
        </w:tabs>
        <w:spacing w:line="480" w:lineRule="auto"/>
        <w:ind w:firstLine="560" w:firstLineChars="200"/>
        <w:rPr>
          <w:rFonts w:hint="eastAsia" w:ascii="宋体" w:hAnsi="宋体" w:eastAsia="宋体" w:cs="宋体"/>
          <w:b/>
          <w:bCs/>
          <w:sz w:val="28"/>
          <w:szCs w:val="28"/>
        </w:rPr>
      </w:pPr>
      <w:r>
        <w:rPr>
          <w:rFonts w:hint="eastAsia" w:ascii="宋体" w:hAnsi="宋体" w:eastAsia="宋体" w:cs="宋体"/>
          <w:color w:val="333333"/>
          <w:sz w:val="28"/>
          <w:szCs w:val="28"/>
        </w:rPr>
        <w:t>（二）</w:t>
      </w:r>
      <w:r>
        <w:rPr>
          <w:rFonts w:hint="eastAsia" w:ascii="宋体" w:hAnsi="宋体" w:eastAsia="宋体" w:cs="宋体"/>
          <w:b/>
          <w:bCs/>
          <w:sz w:val="28"/>
          <w:szCs w:val="28"/>
        </w:rPr>
        <w:t>部门收支情况</w:t>
      </w:r>
    </w:p>
    <w:p>
      <w:pPr>
        <w:pStyle w:val="2"/>
        <w:tabs>
          <w:tab w:val="left" w:pos="420"/>
        </w:tabs>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w:t>
      </w:r>
      <w:r>
        <w:rPr>
          <w:rFonts w:hint="eastAsia" w:cs="宋体"/>
          <w:sz w:val="28"/>
          <w:szCs w:val="28"/>
          <w:lang w:eastAsia="zh-CN"/>
        </w:rPr>
        <w:t>202</w:t>
      </w:r>
      <w:r>
        <w:rPr>
          <w:rFonts w:hint="eastAsia" w:cs="宋体"/>
          <w:sz w:val="28"/>
          <w:szCs w:val="28"/>
          <w:lang w:val="en-US" w:eastAsia="zh-CN"/>
        </w:rPr>
        <w:t>2</w:t>
      </w:r>
      <w:r>
        <w:rPr>
          <w:rFonts w:hint="eastAsia" w:ascii="宋体" w:hAnsi="宋体" w:eastAsia="宋体" w:cs="宋体"/>
          <w:sz w:val="28"/>
          <w:szCs w:val="28"/>
        </w:rPr>
        <w:t>年度收入总计</w:t>
      </w:r>
      <w:r>
        <w:rPr>
          <w:rFonts w:hint="eastAsia" w:cs="宋体"/>
          <w:sz w:val="28"/>
          <w:szCs w:val="28"/>
          <w:lang w:val="en-US" w:eastAsia="zh-CN"/>
        </w:rPr>
        <w:t>159.54</w:t>
      </w:r>
      <w:r>
        <w:rPr>
          <w:rFonts w:hint="eastAsia" w:ascii="宋体" w:hAnsi="宋体" w:eastAsia="宋体" w:cs="宋体"/>
          <w:sz w:val="28"/>
          <w:szCs w:val="28"/>
        </w:rPr>
        <w:t>万元，其中财政拨款收入</w:t>
      </w:r>
      <w:r>
        <w:rPr>
          <w:rFonts w:hint="eastAsia" w:cs="宋体"/>
          <w:sz w:val="28"/>
          <w:szCs w:val="28"/>
          <w:lang w:val="en-US" w:eastAsia="zh-CN"/>
        </w:rPr>
        <w:t>149.29</w:t>
      </w:r>
      <w:r>
        <w:rPr>
          <w:rFonts w:hint="eastAsia" w:ascii="宋体" w:hAnsi="宋体" w:eastAsia="宋体" w:cs="宋体"/>
          <w:sz w:val="28"/>
          <w:szCs w:val="28"/>
        </w:rPr>
        <w:t>万元</w:t>
      </w:r>
      <w:r>
        <w:rPr>
          <w:rFonts w:hint="eastAsia" w:cs="宋体"/>
          <w:sz w:val="28"/>
          <w:szCs w:val="28"/>
          <w:lang w:eastAsia="zh-CN"/>
        </w:rPr>
        <w:t>。</w:t>
      </w:r>
      <w:r>
        <w:rPr>
          <w:rFonts w:hint="eastAsia" w:ascii="宋体" w:hAnsi="宋体" w:eastAsia="宋体" w:cs="宋体"/>
          <w:sz w:val="28"/>
          <w:szCs w:val="28"/>
        </w:rPr>
        <w:t>全年总支出</w:t>
      </w:r>
      <w:r>
        <w:rPr>
          <w:rFonts w:hint="eastAsia" w:cs="宋体"/>
          <w:sz w:val="28"/>
          <w:szCs w:val="28"/>
          <w:lang w:val="en-US" w:eastAsia="zh-CN"/>
        </w:rPr>
        <w:t>159.54</w:t>
      </w:r>
      <w:r>
        <w:rPr>
          <w:rFonts w:hint="eastAsia" w:ascii="宋体" w:hAnsi="宋体" w:eastAsia="宋体" w:cs="宋体"/>
          <w:sz w:val="28"/>
          <w:szCs w:val="28"/>
        </w:rPr>
        <w:t>万元,（其中基本支出为</w:t>
      </w:r>
      <w:r>
        <w:rPr>
          <w:rFonts w:hint="eastAsia" w:cs="宋体"/>
          <w:color w:val="333333"/>
          <w:kern w:val="0"/>
          <w:sz w:val="28"/>
          <w:szCs w:val="28"/>
          <w:lang w:val="en-US" w:eastAsia="zh-CN"/>
        </w:rPr>
        <w:t>99.44</w:t>
      </w:r>
      <w:r>
        <w:rPr>
          <w:rFonts w:hint="eastAsia" w:ascii="宋体" w:hAnsi="宋体" w:eastAsia="宋体" w:cs="宋体"/>
          <w:sz w:val="28"/>
          <w:szCs w:val="28"/>
        </w:rPr>
        <w:t>万元，项目支出</w:t>
      </w:r>
      <w:r>
        <w:rPr>
          <w:rFonts w:hint="eastAsia" w:cs="宋体"/>
          <w:color w:val="333333"/>
          <w:kern w:val="0"/>
          <w:sz w:val="28"/>
          <w:szCs w:val="28"/>
          <w:lang w:val="en-US" w:eastAsia="zh-CN"/>
        </w:rPr>
        <w:t>60.10</w:t>
      </w:r>
      <w:r>
        <w:rPr>
          <w:rFonts w:hint="eastAsia" w:ascii="宋体" w:hAnsi="宋体" w:eastAsia="宋体" w:cs="宋体"/>
          <w:sz w:val="28"/>
          <w:szCs w:val="28"/>
        </w:rPr>
        <w:t>万元。其中工资福利支出</w:t>
      </w:r>
      <w:r>
        <w:rPr>
          <w:rFonts w:hint="eastAsia" w:cs="宋体"/>
          <w:sz w:val="28"/>
          <w:szCs w:val="28"/>
          <w:lang w:val="en-US" w:eastAsia="zh-CN"/>
        </w:rPr>
        <w:t>91.54</w:t>
      </w:r>
      <w:r>
        <w:rPr>
          <w:rFonts w:hint="eastAsia" w:ascii="宋体" w:hAnsi="宋体" w:eastAsia="宋体" w:cs="宋体"/>
          <w:sz w:val="28"/>
          <w:szCs w:val="28"/>
        </w:rPr>
        <w:t>万元，商品和服务支出</w:t>
      </w:r>
      <w:r>
        <w:rPr>
          <w:rFonts w:hint="eastAsia" w:cs="宋体"/>
          <w:sz w:val="28"/>
          <w:szCs w:val="28"/>
          <w:lang w:val="en-US" w:eastAsia="zh-CN"/>
        </w:rPr>
        <w:t>7.90</w:t>
      </w:r>
      <w:r>
        <w:rPr>
          <w:rFonts w:hint="eastAsia" w:ascii="宋体" w:hAnsi="宋体" w:eastAsia="宋体" w:cs="宋体"/>
          <w:sz w:val="28"/>
          <w:szCs w:val="28"/>
        </w:rPr>
        <w:t>万元。</w:t>
      </w:r>
    </w:p>
    <w:p>
      <w:pPr>
        <w:pStyle w:val="2"/>
        <w:tabs>
          <w:tab w:val="left" w:pos="420"/>
        </w:tabs>
        <w:spacing w:line="480" w:lineRule="auto"/>
        <w:ind w:firstLine="562" w:firstLineChars="200"/>
        <w:rPr>
          <w:rFonts w:hint="eastAsia" w:ascii="宋体" w:hAnsi="宋体" w:eastAsia="宋体" w:cs="宋体"/>
          <w:sz w:val="28"/>
          <w:szCs w:val="28"/>
        </w:rPr>
      </w:pPr>
      <w:r>
        <w:rPr>
          <w:rFonts w:hint="eastAsia" w:ascii="宋体" w:hAnsi="宋体" w:eastAsia="宋体" w:cs="宋体"/>
          <w:b/>
          <w:color w:val="333333"/>
          <w:sz w:val="28"/>
          <w:szCs w:val="28"/>
        </w:rPr>
        <w:t>（三）职责履行</w:t>
      </w:r>
    </w:p>
    <w:p>
      <w:pPr>
        <w:widowControl/>
        <w:shd w:val="clear" w:color="auto" w:fill="FFFFFF"/>
        <w:spacing w:line="480" w:lineRule="auto"/>
        <w:ind w:firstLine="560" w:firstLineChars="200"/>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eastAsia="zh-CN"/>
        </w:rPr>
        <w:t>202</w:t>
      </w:r>
      <w:r>
        <w:rPr>
          <w:rFonts w:hint="eastAsia" w:ascii="宋体" w:hAnsi="宋体" w:eastAsia="宋体" w:cs="宋体"/>
          <w:color w:val="333333"/>
          <w:kern w:val="0"/>
          <w:sz w:val="28"/>
          <w:szCs w:val="28"/>
          <w:lang w:val="en-US" w:eastAsia="zh-CN"/>
        </w:rPr>
        <w:t>2</w:t>
      </w:r>
      <w:r>
        <w:rPr>
          <w:rFonts w:hint="eastAsia" w:ascii="宋体" w:hAnsi="宋体" w:eastAsia="宋体" w:cs="宋体"/>
          <w:color w:val="333333"/>
          <w:kern w:val="0"/>
          <w:sz w:val="28"/>
          <w:szCs w:val="28"/>
        </w:rPr>
        <w:t>年，在市委、市政府的正确领导和市人大、市政协的监督支持下，在衡阳市重点办的精心指导以及全市各有关部门的大力支持与配合下。围绕“跻身全省十强”的宏伟目标，紧扣”产业主导，工业主打，统筹城乡，全面发展”工作主线，始终坚持把重点项目建设作为促进我市经济又好又快发展的重要突破口，立足自身产业优势和县域经济发展需求，扎实开展“产业项目建设年”活动，突出“抓推进、抓前期、抓协调、抓环境”四大重点，同时也在“抓学习、抓作风、抓党建、促发展”等方面下狠功夫，有效地推进了重点项目建设。</w:t>
      </w:r>
    </w:p>
    <w:p>
      <w:pPr>
        <w:widowControl/>
        <w:shd w:val="clear" w:color="auto" w:fill="FFFFFF"/>
        <w:spacing w:line="480" w:lineRule="auto"/>
        <w:ind w:firstLine="643" w:firstLineChars="200"/>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三、存在的问题和建议</w:t>
      </w:r>
    </w:p>
    <w:p>
      <w:pPr>
        <w:widowControl/>
        <w:shd w:val="clear" w:color="auto" w:fill="FFFFFF"/>
        <w:spacing w:line="480" w:lineRule="auto"/>
        <w:ind w:firstLine="480"/>
        <w:rPr>
          <w:rFonts w:hint="eastAsia" w:ascii="宋体" w:hAnsi="宋体" w:eastAsia="宋体" w:cs="宋体"/>
          <w:b/>
          <w:color w:val="333333"/>
          <w:kern w:val="0"/>
          <w:sz w:val="28"/>
          <w:szCs w:val="28"/>
        </w:rPr>
      </w:pPr>
      <w:r>
        <w:rPr>
          <w:rFonts w:hint="eastAsia" w:ascii="宋体" w:hAnsi="宋体" w:eastAsia="宋体" w:cs="宋体"/>
          <w:b/>
          <w:color w:val="333333"/>
          <w:kern w:val="0"/>
          <w:sz w:val="28"/>
          <w:szCs w:val="28"/>
        </w:rPr>
        <w:t>（一）科学合理编制预算，严格执行预算</w:t>
      </w:r>
    </w:p>
    <w:p>
      <w:pPr>
        <w:widowControl/>
        <w:shd w:val="clear" w:color="auto" w:fill="FFFFFF"/>
        <w:spacing w:line="480" w:lineRule="auto"/>
        <w:ind w:firstLine="560" w:firstLineChars="200"/>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widowControl/>
        <w:shd w:val="clear" w:color="auto" w:fill="FFFFFF"/>
        <w:spacing w:line="480" w:lineRule="auto"/>
        <w:ind w:firstLine="480"/>
        <w:rPr>
          <w:rFonts w:hint="eastAsia" w:ascii="宋体" w:hAnsi="宋体" w:eastAsia="宋体" w:cs="宋体"/>
          <w:b/>
          <w:color w:val="333333"/>
          <w:kern w:val="0"/>
          <w:sz w:val="28"/>
          <w:szCs w:val="28"/>
        </w:rPr>
      </w:pPr>
      <w:r>
        <w:rPr>
          <w:rFonts w:hint="eastAsia" w:ascii="宋体" w:hAnsi="宋体" w:eastAsia="宋体" w:cs="宋体"/>
          <w:b/>
          <w:color w:val="333333"/>
          <w:kern w:val="0"/>
          <w:sz w:val="28"/>
          <w:szCs w:val="28"/>
        </w:rPr>
        <w:t>（二）完善管理制度，进一步加强资产管理</w:t>
      </w:r>
    </w:p>
    <w:p>
      <w:pPr>
        <w:widowControl/>
        <w:shd w:val="clear" w:color="auto" w:fill="FFFFFF"/>
        <w:spacing w:line="480" w:lineRule="auto"/>
        <w:ind w:firstLine="560" w:firstLineChars="200"/>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进一步贯彻落实中央“八项规定”和省、衡阳市以及常宁市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widowControl/>
        <w:shd w:val="clear" w:color="auto" w:fill="FFFFFF"/>
        <w:spacing w:line="480" w:lineRule="auto"/>
        <w:ind w:firstLine="480"/>
        <w:rPr>
          <w:rFonts w:hint="eastAsia" w:ascii="宋体" w:hAnsi="宋体" w:eastAsia="宋体" w:cs="宋体"/>
          <w:b/>
          <w:color w:val="333333"/>
          <w:kern w:val="0"/>
          <w:sz w:val="28"/>
          <w:szCs w:val="28"/>
        </w:rPr>
      </w:pPr>
      <w:r>
        <w:rPr>
          <w:rFonts w:hint="eastAsia" w:ascii="宋体" w:hAnsi="宋体" w:eastAsia="宋体" w:cs="宋体"/>
          <w:b/>
          <w:color w:val="333333"/>
          <w:kern w:val="0"/>
          <w:sz w:val="28"/>
          <w:szCs w:val="28"/>
        </w:rPr>
        <w:t>（三）强化学习培训，提高业务水平</w:t>
      </w:r>
    </w:p>
    <w:p>
      <w:pPr>
        <w:widowControl/>
        <w:shd w:val="clear" w:color="auto" w:fill="FFFFFF"/>
        <w:spacing w:line="480" w:lineRule="auto"/>
        <w:ind w:firstLine="560" w:firstLineChars="200"/>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加强《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rPr>
          <w:rFonts w:hint="eastAsia" w:ascii="宋体" w:hAnsi="宋体" w:eastAsia="宋体" w:cs="宋体"/>
        </w:rPr>
      </w:pPr>
    </w:p>
    <w:p>
      <w:pPr>
        <w:ind w:firstLine="3855" w:firstLineChars="1200"/>
        <w:rPr>
          <w:b/>
          <w:bCs/>
        </w:rPr>
      </w:pPr>
      <w:r>
        <w:rPr>
          <w:rFonts w:hint="eastAsia" w:ascii="宋体" w:hAnsi="宋体" w:eastAsia="宋体" w:cs="宋体"/>
          <w:b/>
          <w:bCs/>
          <w:color w:val="333333"/>
          <w:kern w:val="0"/>
          <w:sz w:val="32"/>
          <w:szCs w:val="32"/>
          <w:lang w:eastAsia="zh-CN"/>
        </w:rPr>
        <w:t>常宁市</w:t>
      </w:r>
      <w:r>
        <w:rPr>
          <w:rFonts w:hint="eastAsia" w:ascii="宋体" w:hAnsi="宋体" w:eastAsia="宋体" w:cs="宋体"/>
          <w:b/>
          <w:bCs/>
          <w:color w:val="333333"/>
          <w:kern w:val="0"/>
          <w:sz w:val="32"/>
          <w:szCs w:val="32"/>
        </w:rPr>
        <w:t>重点建设项目事务中心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MDY2NTZjOTQ4MGZiYmFiM2EzMGI4NWFkMTYxMDEifQ=="/>
  </w:docVars>
  <w:rsids>
    <w:rsidRoot w:val="04C20421"/>
    <w:rsid w:val="02443CCC"/>
    <w:rsid w:val="04C20421"/>
    <w:rsid w:val="0A692C28"/>
    <w:rsid w:val="0C8E7CB6"/>
    <w:rsid w:val="1E0D7210"/>
    <w:rsid w:val="372D51D4"/>
    <w:rsid w:val="73FC6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1205</Words>
  <Characters>1292</Characters>
  <Lines>0</Lines>
  <Paragraphs>0</Paragraphs>
  <TotalTime>1</TotalTime>
  <ScaleCrop>false</ScaleCrop>
  <LinksUpToDate>false</LinksUpToDate>
  <CharactersWithSpaces>1292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2022-09-01T02:01:00Z</dcterms:created>
  <dc:creator>Administrator</dc:creator>
  <cp:lastModifiedBy>WPS_1627286606</cp:lastModifiedBy>
  <cp:lastPrinted>2022-09-01T02:40:00Z</cp:lastPrinted>
  <dcterms:modified xsi:type="dcterms:W3CDTF">2023-08-31T10:35:07Z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19D24BEF27C84CC7BDD060342C17E6E3</vt:lpwstr>
  </property>
</Properties>
</file>