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6DA" w:rsidRDefault="00CE36DA" w:rsidP="00CE36DA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sz w:val="44"/>
          <w:szCs w:val="44"/>
        </w:rPr>
      </w:pPr>
      <w:r w:rsidRPr="00872CB9">
        <w:rPr>
          <w:rFonts w:ascii="黑体" w:eastAsia="黑体" w:hAnsi="黑体" w:hint="eastAsia"/>
          <w:b/>
          <w:sz w:val="44"/>
          <w:szCs w:val="44"/>
        </w:rPr>
        <w:t>常宁</w:t>
      </w:r>
      <w:r>
        <w:rPr>
          <w:rFonts w:ascii="黑体" w:eastAsia="黑体" w:hAnsi="黑体" w:hint="eastAsia"/>
          <w:b/>
          <w:sz w:val="44"/>
          <w:szCs w:val="44"/>
        </w:rPr>
        <w:t>商务和粮食</w:t>
      </w:r>
      <w:r w:rsidRPr="00872CB9">
        <w:rPr>
          <w:rFonts w:ascii="黑体" w:eastAsia="黑体" w:hAnsi="黑体" w:hint="eastAsia"/>
          <w:b/>
          <w:sz w:val="44"/>
          <w:szCs w:val="44"/>
        </w:rPr>
        <w:t>局</w:t>
      </w:r>
      <w:r>
        <w:rPr>
          <w:rFonts w:ascii="黑体" w:eastAsia="黑体" w:hAnsi="黑体" w:hint="eastAsia"/>
          <w:b/>
          <w:sz w:val="44"/>
          <w:szCs w:val="44"/>
        </w:rPr>
        <w:t>2022年</w:t>
      </w:r>
      <w:r w:rsidRPr="00872CB9">
        <w:rPr>
          <w:rFonts w:ascii="黑体" w:eastAsia="黑体" w:hAnsi="黑体" w:hint="eastAsia"/>
          <w:b/>
          <w:sz w:val="44"/>
          <w:szCs w:val="44"/>
        </w:rPr>
        <w:t>部门整体支出</w:t>
      </w:r>
    </w:p>
    <w:p w:rsidR="00CE36DA" w:rsidRDefault="00CE36DA" w:rsidP="00CE36DA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sz w:val="44"/>
          <w:szCs w:val="44"/>
        </w:rPr>
      </w:pPr>
      <w:r w:rsidRPr="00872CB9">
        <w:rPr>
          <w:rFonts w:ascii="黑体" w:eastAsia="黑体" w:hAnsi="黑体" w:hint="eastAsia"/>
          <w:b/>
          <w:sz w:val="44"/>
          <w:szCs w:val="44"/>
        </w:rPr>
        <w:t>绩效评价报告</w:t>
      </w:r>
    </w:p>
    <w:p w:rsidR="00CE36DA" w:rsidRDefault="00CE36DA" w:rsidP="00CE36DA">
      <w:pPr>
        <w:adjustRightInd w:val="0"/>
        <w:snapToGrid w:val="0"/>
        <w:spacing w:line="360" w:lineRule="auto"/>
        <w:rPr>
          <w:rFonts w:ascii="楷体" w:eastAsia="楷体" w:hAnsi="楷体"/>
          <w:b/>
          <w:sz w:val="32"/>
          <w:szCs w:val="32"/>
        </w:rPr>
      </w:pPr>
    </w:p>
    <w:p w:rsidR="00CE36DA" w:rsidRPr="00210342" w:rsidRDefault="00CE36DA" w:rsidP="00CE36DA">
      <w:pPr>
        <w:adjustRightInd w:val="0"/>
        <w:snapToGrid w:val="0"/>
        <w:spacing w:line="360" w:lineRule="auto"/>
        <w:ind w:firstLineChars="200" w:firstLine="643"/>
        <w:rPr>
          <w:rFonts w:asciiTheme="majorEastAsia" w:eastAsiaTheme="majorEastAsia" w:hAnsiTheme="majorEastAsia"/>
          <w:b/>
          <w:sz w:val="32"/>
          <w:szCs w:val="32"/>
        </w:rPr>
      </w:pPr>
      <w:r w:rsidRPr="00210342">
        <w:rPr>
          <w:rFonts w:asciiTheme="majorEastAsia" w:eastAsiaTheme="majorEastAsia" w:hAnsiTheme="majorEastAsia" w:hint="eastAsia"/>
          <w:b/>
          <w:sz w:val="32"/>
          <w:szCs w:val="32"/>
        </w:rPr>
        <w:t>第一部分　　常宁市商务和粮食局概况</w:t>
      </w:r>
    </w:p>
    <w:p w:rsidR="00CE36DA" w:rsidRPr="00210342" w:rsidRDefault="00CE36DA" w:rsidP="00CE36DA">
      <w:pPr>
        <w:adjustRightInd w:val="0"/>
        <w:snapToGrid w:val="0"/>
        <w:spacing w:line="360" w:lineRule="auto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　</w:t>
      </w:r>
      <w:r w:rsidRPr="00210342">
        <w:rPr>
          <w:rFonts w:ascii="楷体" w:eastAsia="楷体" w:hAnsi="楷体" w:hint="eastAsia"/>
          <w:b/>
          <w:sz w:val="32"/>
          <w:szCs w:val="32"/>
        </w:rPr>
        <w:t xml:space="preserve">　一、单位主要职能</w:t>
      </w:r>
    </w:p>
    <w:p w:rsidR="00CE36DA" w:rsidRDefault="00CE36DA" w:rsidP="00CE36DA">
      <w:pPr>
        <w:adjustRightInd w:val="0"/>
        <w:snapToGrid w:val="0"/>
        <w:spacing w:line="360" w:lineRule="auto"/>
        <w:ind w:firstLine="645"/>
        <w:rPr>
          <w:rFonts w:ascii="楷体" w:eastAsia="楷体" w:hAnsi="楷体"/>
          <w:sz w:val="32"/>
          <w:szCs w:val="32"/>
        </w:rPr>
      </w:pPr>
      <w:r w:rsidRPr="00367B19">
        <w:rPr>
          <w:rFonts w:ascii="楷体" w:eastAsia="楷体" w:hAnsi="楷体" w:hint="eastAsia"/>
          <w:sz w:val="32"/>
          <w:szCs w:val="32"/>
        </w:rPr>
        <w:t>拟订全市国内外贸易、招商引资、承接产业转移、对外援助、对外投资、对外经济合作和粮食流通业的中长期规划、政策措施和实施办法；推进流通产业结构调整，指导流通企业改革，促进商贸服务业、社区商业和粮食产业发展；指导大宗产品批发市场规划和城市商业网点规划、商业体系建设工作，推进农村市场体系建设，组织实施农村现代流通网络工程。牵头协调整顿和规范市场经济秩序工作；承担组织实施重要消费品市场调控和重要生产资料流通管理的责任，负责建立健全生活必需品市场供应应急管理机制，按分工负责重要消费品储备管理和市场调控工作；按有关规定对成品油流通进行监督管理；负责全市粮食流通宏观调控的具体工作，承担粮食监测预警或应急责任，指导协调最低收购价等政策性粮食购销和粮食产、购、销合作，保障军队粮食供应；承担市级储备粮（油）行政管理责任； 指导全市招商引资和承接产业转移工作，负责组织参与商务部、省政府、衡阳市政府举办的内外贸易促销活动和招商引资、对外经济技术合作活动；负责组织、指导、协调以常宁市名义在境内外举办的各种内外贸易交易会、展览会、</w:t>
      </w:r>
      <w:r w:rsidRPr="00367B19">
        <w:rPr>
          <w:rFonts w:ascii="楷体" w:eastAsia="楷体" w:hAnsi="楷体" w:hint="eastAsia"/>
          <w:sz w:val="32"/>
          <w:szCs w:val="32"/>
        </w:rPr>
        <w:lastRenderedPageBreak/>
        <w:t>展销会和招商引资等商务活动。承担全市商务和粮食系统统计及其信息发布工作，提供信息咨询服务，指导全市流通领域信息网络和电子商务建设；负责对职责范围内有关行业、领域（包括商业贸易等）的安全生产工作实施监督管理，等承办市人民政府交办的其他事项。</w:t>
      </w:r>
    </w:p>
    <w:p w:rsidR="00CE36DA" w:rsidRPr="00210342" w:rsidRDefault="00CE36DA" w:rsidP="00CE36DA">
      <w:pPr>
        <w:adjustRightInd w:val="0"/>
        <w:snapToGrid w:val="0"/>
        <w:spacing w:line="360" w:lineRule="auto"/>
        <w:ind w:firstLine="645"/>
        <w:rPr>
          <w:rFonts w:ascii="楷体" w:eastAsia="楷体" w:hAnsi="楷体"/>
          <w:b/>
          <w:sz w:val="32"/>
          <w:szCs w:val="32"/>
        </w:rPr>
      </w:pPr>
      <w:r w:rsidRPr="00210342">
        <w:rPr>
          <w:rFonts w:ascii="楷体" w:eastAsia="楷体" w:hAnsi="楷体" w:hint="eastAsia"/>
          <w:b/>
          <w:sz w:val="32"/>
          <w:szCs w:val="32"/>
        </w:rPr>
        <w:t>二、机构、人员构成</w:t>
      </w:r>
    </w:p>
    <w:p w:rsidR="00CE36DA" w:rsidRPr="007E1FE7" w:rsidRDefault="00CE36DA" w:rsidP="00CE36DA">
      <w:pPr>
        <w:ind w:firstLineChars="228" w:firstLine="730"/>
        <w:rPr>
          <w:rFonts w:ascii="楷体" w:eastAsia="楷体" w:hAnsi="楷体"/>
          <w:sz w:val="32"/>
          <w:szCs w:val="32"/>
        </w:rPr>
      </w:pPr>
      <w:r w:rsidRPr="007E1FE7">
        <w:rPr>
          <w:rFonts w:ascii="楷体" w:eastAsia="楷体" w:hAnsi="楷体" w:hint="eastAsia"/>
          <w:sz w:val="32"/>
          <w:szCs w:val="32"/>
        </w:rPr>
        <w:t>常宁市商务和粮食局为常宁市行政编制一级预算单位，在职人员</w:t>
      </w:r>
      <w:r w:rsidR="004B52B1">
        <w:rPr>
          <w:rFonts w:ascii="楷体" w:eastAsia="楷体" w:hAnsi="楷体" w:hint="eastAsia"/>
          <w:sz w:val="32"/>
          <w:szCs w:val="32"/>
        </w:rPr>
        <w:t>97</w:t>
      </w:r>
      <w:r w:rsidRPr="007E1FE7">
        <w:rPr>
          <w:rFonts w:ascii="楷体" w:eastAsia="楷体" w:hAnsi="楷体" w:hint="eastAsia"/>
          <w:sz w:val="32"/>
          <w:szCs w:val="32"/>
        </w:rPr>
        <w:t>人，退休人员1</w:t>
      </w:r>
      <w:r>
        <w:rPr>
          <w:rFonts w:ascii="楷体" w:eastAsia="楷体" w:hAnsi="楷体" w:hint="eastAsia"/>
          <w:sz w:val="32"/>
          <w:szCs w:val="32"/>
        </w:rPr>
        <w:t>1</w:t>
      </w:r>
      <w:r w:rsidR="004B52B1">
        <w:rPr>
          <w:rFonts w:ascii="楷体" w:eastAsia="楷体" w:hAnsi="楷体" w:hint="eastAsia"/>
          <w:sz w:val="32"/>
          <w:szCs w:val="32"/>
        </w:rPr>
        <w:t>3</w:t>
      </w:r>
      <w:r w:rsidRPr="007E1FE7">
        <w:rPr>
          <w:rFonts w:ascii="楷体" w:eastAsia="楷体" w:hAnsi="楷体" w:hint="eastAsia"/>
          <w:sz w:val="32"/>
          <w:szCs w:val="32"/>
        </w:rPr>
        <w:t>人。下辖投资促进事务中心、粮食服务中心两个副科级二级机构；设置办公室、财务股、人事股、市场体系建设股、市场秩序股（市场运行监测股）、法规股（行政审批服务股）、粮食行业发展股、对外贸易股、电子商务股等9个内设机构；另按有关规定设置纪检（监察）机构。</w:t>
      </w:r>
    </w:p>
    <w:p w:rsidR="00CE36DA" w:rsidRPr="00210342" w:rsidRDefault="00CE36DA" w:rsidP="00CE36DA">
      <w:pPr>
        <w:adjustRightInd w:val="0"/>
        <w:snapToGrid w:val="0"/>
        <w:spacing w:line="360" w:lineRule="auto"/>
        <w:ind w:firstLineChars="200" w:firstLine="643"/>
        <w:rPr>
          <w:rFonts w:asciiTheme="majorEastAsia" w:eastAsiaTheme="majorEastAsia" w:hAnsiTheme="majorEastAsia"/>
          <w:b/>
          <w:sz w:val="32"/>
          <w:szCs w:val="32"/>
        </w:rPr>
      </w:pPr>
      <w:r w:rsidRPr="00210342">
        <w:rPr>
          <w:rFonts w:asciiTheme="majorEastAsia" w:eastAsiaTheme="majorEastAsia" w:hAnsiTheme="majorEastAsia" w:hint="eastAsia"/>
          <w:b/>
          <w:sz w:val="32"/>
          <w:szCs w:val="32"/>
        </w:rPr>
        <w:t>第二部分　　部门财务情况</w:t>
      </w:r>
    </w:p>
    <w:p w:rsidR="00CE36DA" w:rsidRPr="00210342" w:rsidRDefault="00CE36DA" w:rsidP="00CE36DA">
      <w:pPr>
        <w:adjustRightInd w:val="0"/>
        <w:snapToGrid w:val="0"/>
        <w:spacing w:line="360" w:lineRule="auto"/>
        <w:ind w:firstLine="645"/>
        <w:rPr>
          <w:rFonts w:ascii="楷体" w:eastAsia="楷体" w:hAnsi="楷体"/>
          <w:b/>
          <w:sz w:val="32"/>
          <w:szCs w:val="32"/>
        </w:rPr>
      </w:pPr>
      <w:r w:rsidRPr="00210342">
        <w:rPr>
          <w:rFonts w:ascii="楷体" w:eastAsia="楷体" w:hAnsi="楷体" w:hint="eastAsia"/>
          <w:b/>
          <w:sz w:val="32"/>
          <w:szCs w:val="32"/>
        </w:rPr>
        <w:t>一、20</w:t>
      </w:r>
      <w:r>
        <w:rPr>
          <w:rFonts w:ascii="楷体" w:eastAsia="楷体" w:hAnsi="楷体" w:hint="eastAsia"/>
          <w:b/>
          <w:sz w:val="32"/>
          <w:szCs w:val="32"/>
        </w:rPr>
        <w:t>2</w:t>
      </w:r>
      <w:r w:rsidR="004B52B1">
        <w:rPr>
          <w:rFonts w:ascii="楷体" w:eastAsia="楷体" w:hAnsi="楷体" w:hint="eastAsia"/>
          <w:b/>
          <w:sz w:val="32"/>
          <w:szCs w:val="32"/>
        </w:rPr>
        <w:t>2</w:t>
      </w:r>
      <w:r w:rsidRPr="00210342">
        <w:rPr>
          <w:rFonts w:ascii="楷体" w:eastAsia="楷体" w:hAnsi="楷体" w:hint="eastAsia"/>
          <w:b/>
          <w:sz w:val="32"/>
          <w:szCs w:val="32"/>
        </w:rPr>
        <w:t>年度部门整体收支情况</w:t>
      </w:r>
    </w:p>
    <w:p w:rsidR="00CE36DA" w:rsidRDefault="00CE36DA" w:rsidP="00CE36DA">
      <w:pPr>
        <w:adjustRightInd w:val="0"/>
        <w:snapToGrid w:val="0"/>
        <w:spacing w:line="360" w:lineRule="auto"/>
        <w:ind w:firstLine="645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202</w:t>
      </w:r>
      <w:r w:rsidR="004B52B1">
        <w:rPr>
          <w:rFonts w:ascii="楷体" w:eastAsia="楷体" w:hAnsi="楷体" w:hint="eastAsia"/>
          <w:sz w:val="32"/>
          <w:szCs w:val="32"/>
        </w:rPr>
        <w:t>2</w:t>
      </w:r>
      <w:r>
        <w:rPr>
          <w:rFonts w:ascii="楷体" w:eastAsia="楷体" w:hAnsi="楷体" w:hint="eastAsia"/>
          <w:sz w:val="32"/>
          <w:szCs w:val="32"/>
        </w:rPr>
        <w:t>年常宁市商务和粮食局总收入</w:t>
      </w:r>
      <w:r w:rsidR="004B52B1">
        <w:rPr>
          <w:rFonts w:ascii="楷体" w:eastAsia="楷体" w:hAnsi="楷体" w:hint="eastAsia"/>
          <w:sz w:val="32"/>
          <w:szCs w:val="32"/>
        </w:rPr>
        <w:t>4237.54</w:t>
      </w:r>
      <w:r>
        <w:rPr>
          <w:rFonts w:ascii="楷体" w:eastAsia="楷体" w:hAnsi="楷体" w:hint="eastAsia"/>
          <w:sz w:val="32"/>
          <w:szCs w:val="32"/>
        </w:rPr>
        <w:t>万元，其中一般公共预算收入</w:t>
      </w:r>
      <w:r w:rsidR="004B52B1">
        <w:rPr>
          <w:rFonts w:ascii="楷体" w:eastAsia="楷体" w:hAnsi="楷体" w:hint="eastAsia"/>
          <w:sz w:val="32"/>
          <w:szCs w:val="32"/>
        </w:rPr>
        <w:t>3982.94</w:t>
      </w:r>
      <w:r>
        <w:rPr>
          <w:rFonts w:ascii="楷体" w:eastAsia="楷体" w:hAnsi="楷体" w:hint="eastAsia"/>
          <w:sz w:val="32"/>
          <w:szCs w:val="32"/>
        </w:rPr>
        <w:t>万元，占全年总收入的</w:t>
      </w:r>
      <w:r w:rsidR="004B52B1">
        <w:rPr>
          <w:rFonts w:ascii="楷体" w:eastAsia="楷体" w:hAnsi="楷体" w:hint="eastAsia"/>
          <w:sz w:val="32"/>
          <w:szCs w:val="32"/>
        </w:rPr>
        <w:t>94</w:t>
      </w:r>
      <w:r>
        <w:rPr>
          <w:rFonts w:ascii="楷体" w:eastAsia="楷体" w:hAnsi="楷体" w:hint="eastAsia"/>
          <w:sz w:val="32"/>
          <w:szCs w:val="32"/>
        </w:rPr>
        <w:t>%。202</w:t>
      </w:r>
      <w:r w:rsidR="004B52B1">
        <w:rPr>
          <w:rFonts w:ascii="楷体" w:eastAsia="楷体" w:hAnsi="楷体" w:hint="eastAsia"/>
          <w:sz w:val="32"/>
          <w:szCs w:val="32"/>
        </w:rPr>
        <w:t>2</w:t>
      </w:r>
      <w:r>
        <w:rPr>
          <w:rFonts w:ascii="楷体" w:eastAsia="楷体" w:hAnsi="楷体" w:hint="eastAsia"/>
          <w:sz w:val="32"/>
          <w:szCs w:val="32"/>
        </w:rPr>
        <w:t>年常宁市商务和粮食局总支出</w:t>
      </w:r>
      <w:r w:rsidR="004B52B1">
        <w:rPr>
          <w:rFonts w:ascii="楷体" w:eastAsia="楷体" w:hAnsi="楷体" w:hint="eastAsia"/>
          <w:sz w:val="32"/>
          <w:szCs w:val="32"/>
        </w:rPr>
        <w:t>4237.54</w:t>
      </w:r>
      <w:r>
        <w:rPr>
          <w:rFonts w:ascii="楷体" w:eastAsia="楷体" w:hAnsi="楷体" w:hint="eastAsia"/>
          <w:sz w:val="32"/>
          <w:szCs w:val="32"/>
        </w:rPr>
        <w:t>万元，其中基本支出</w:t>
      </w:r>
      <w:r w:rsidR="004B52B1">
        <w:rPr>
          <w:rFonts w:ascii="楷体" w:eastAsia="楷体" w:hAnsi="楷体" w:hint="eastAsia"/>
          <w:sz w:val="32"/>
          <w:szCs w:val="32"/>
        </w:rPr>
        <w:t>1120.54</w:t>
      </w:r>
      <w:r>
        <w:rPr>
          <w:rFonts w:ascii="楷体" w:eastAsia="楷体" w:hAnsi="楷体" w:hint="eastAsia"/>
          <w:sz w:val="32"/>
          <w:szCs w:val="32"/>
        </w:rPr>
        <w:t>万元，占全年总支出的</w:t>
      </w:r>
      <w:r w:rsidR="004B52B1">
        <w:rPr>
          <w:rFonts w:ascii="楷体" w:eastAsia="楷体" w:hAnsi="楷体" w:hint="eastAsia"/>
          <w:sz w:val="32"/>
          <w:szCs w:val="32"/>
        </w:rPr>
        <w:t>26.4</w:t>
      </w:r>
      <w:r>
        <w:rPr>
          <w:rFonts w:ascii="楷体" w:eastAsia="楷体" w:hAnsi="楷体" w:hint="eastAsia"/>
          <w:sz w:val="32"/>
          <w:szCs w:val="32"/>
        </w:rPr>
        <w:t>%，项目支出</w:t>
      </w:r>
      <w:r w:rsidR="004B52B1">
        <w:rPr>
          <w:rFonts w:ascii="楷体" w:eastAsia="楷体" w:hAnsi="楷体" w:hint="eastAsia"/>
          <w:sz w:val="32"/>
          <w:szCs w:val="32"/>
        </w:rPr>
        <w:t>3117</w:t>
      </w:r>
      <w:r>
        <w:rPr>
          <w:rFonts w:ascii="楷体" w:eastAsia="楷体" w:hAnsi="楷体" w:hint="eastAsia"/>
          <w:sz w:val="32"/>
          <w:szCs w:val="32"/>
        </w:rPr>
        <w:t>万元，占全年总支出的7</w:t>
      </w:r>
      <w:r w:rsidR="004B52B1">
        <w:rPr>
          <w:rFonts w:ascii="楷体" w:eastAsia="楷体" w:hAnsi="楷体" w:hint="eastAsia"/>
          <w:sz w:val="32"/>
          <w:szCs w:val="32"/>
        </w:rPr>
        <w:t>3.6</w:t>
      </w:r>
      <w:r>
        <w:rPr>
          <w:rFonts w:ascii="楷体" w:eastAsia="楷体" w:hAnsi="楷体" w:hint="eastAsia"/>
          <w:sz w:val="32"/>
          <w:szCs w:val="32"/>
        </w:rPr>
        <w:t>%。</w:t>
      </w:r>
    </w:p>
    <w:p w:rsidR="00CE36DA" w:rsidRPr="00210342" w:rsidRDefault="00CE36DA" w:rsidP="00CE36DA">
      <w:pPr>
        <w:adjustRightInd w:val="0"/>
        <w:snapToGrid w:val="0"/>
        <w:ind w:firstLine="645"/>
        <w:rPr>
          <w:rFonts w:ascii="楷体" w:eastAsia="楷体" w:hAnsi="楷体"/>
          <w:b/>
          <w:sz w:val="32"/>
          <w:szCs w:val="32"/>
        </w:rPr>
      </w:pPr>
      <w:r w:rsidRPr="00210342">
        <w:rPr>
          <w:rFonts w:ascii="楷体" w:eastAsia="楷体" w:hAnsi="楷体" w:hint="eastAsia"/>
          <w:b/>
          <w:sz w:val="32"/>
          <w:szCs w:val="32"/>
        </w:rPr>
        <w:t>二、资金使用与管理情况</w:t>
      </w:r>
    </w:p>
    <w:p w:rsidR="00CE36DA" w:rsidRDefault="00CE36DA" w:rsidP="00CE36DA">
      <w:pPr>
        <w:ind w:firstLineChars="228" w:firstLine="730"/>
        <w:rPr>
          <w:rFonts w:ascii="楷体" w:eastAsia="楷体" w:hAnsi="楷体"/>
          <w:sz w:val="32"/>
          <w:szCs w:val="32"/>
        </w:rPr>
      </w:pPr>
      <w:r w:rsidRPr="00371B91">
        <w:rPr>
          <w:rFonts w:ascii="楷体" w:eastAsia="楷体" w:hAnsi="楷体" w:hint="eastAsia"/>
          <w:sz w:val="32"/>
          <w:szCs w:val="32"/>
        </w:rPr>
        <w:t>1、</w:t>
      </w:r>
      <w:r>
        <w:rPr>
          <w:rFonts w:ascii="楷体" w:eastAsia="楷体" w:hAnsi="楷体" w:hint="eastAsia"/>
          <w:sz w:val="32"/>
          <w:szCs w:val="32"/>
        </w:rPr>
        <w:t>基本支出</w:t>
      </w:r>
      <w:r w:rsidR="004B52B1">
        <w:rPr>
          <w:rFonts w:ascii="楷体" w:eastAsia="楷体" w:hAnsi="楷体" w:hint="eastAsia"/>
          <w:sz w:val="32"/>
          <w:szCs w:val="32"/>
        </w:rPr>
        <w:t>1120.54</w:t>
      </w:r>
      <w:r>
        <w:rPr>
          <w:rFonts w:ascii="楷体" w:eastAsia="楷体" w:hAnsi="楷体" w:hint="eastAsia"/>
          <w:sz w:val="32"/>
          <w:szCs w:val="32"/>
        </w:rPr>
        <w:t>万元，其中：（1）</w:t>
      </w:r>
      <w:r w:rsidRPr="00371B91">
        <w:rPr>
          <w:rFonts w:ascii="楷体" w:eastAsia="楷体" w:hAnsi="楷体" w:hint="eastAsia"/>
          <w:sz w:val="32"/>
          <w:szCs w:val="32"/>
        </w:rPr>
        <w:t>工资福利支出</w:t>
      </w:r>
      <w:r w:rsidR="004B52B1">
        <w:rPr>
          <w:rFonts w:ascii="楷体" w:eastAsia="楷体" w:hAnsi="楷体" w:hint="eastAsia"/>
          <w:sz w:val="32"/>
          <w:szCs w:val="32"/>
        </w:rPr>
        <w:lastRenderedPageBreak/>
        <w:t>1070.74</w:t>
      </w:r>
      <w:r w:rsidRPr="00371B91">
        <w:rPr>
          <w:rFonts w:ascii="楷体" w:eastAsia="楷体" w:hAnsi="楷体" w:hint="eastAsia"/>
          <w:sz w:val="32"/>
          <w:szCs w:val="32"/>
        </w:rPr>
        <w:t>万元，用于</w:t>
      </w:r>
      <w:r>
        <w:rPr>
          <w:rFonts w:ascii="楷体" w:eastAsia="楷体" w:hAnsi="楷体" w:hint="eastAsia"/>
          <w:sz w:val="32"/>
          <w:szCs w:val="32"/>
        </w:rPr>
        <w:t>保障职工的正常待遇及各项社会保障缴费；（2）商品和服务支出</w:t>
      </w:r>
      <w:r w:rsidR="004B52B1">
        <w:rPr>
          <w:rFonts w:ascii="楷体" w:eastAsia="楷体" w:hAnsi="楷体" w:hint="eastAsia"/>
          <w:sz w:val="32"/>
          <w:szCs w:val="32"/>
        </w:rPr>
        <w:t>20.25</w:t>
      </w:r>
      <w:r>
        <w:rPr>
          <w:rFonts w:ascii="楷体" w:eastAsia="楷体" w:hAnsi="楷体" w:hint="eastAsia"/>
          <w:sz w:val="32"/>
          <w:szCs w:val="32"/>
        </w:rPr>
        <w:t>万元，</w:t>
      </w:r>
      <w:r w:rsidRPr="00371B91">
        <w:rPr>
          <w:rFonts w:ascii="楷体" w:eastAsia="楷体" w:hAnsi="楷体" w:hint="eastAsia"/>
          <w:sz w:val="32"/>
          <w:szCs w:val="32"/>
        </w:rPr>
        <w:t>用于单位办公费、印刷费、水电费、差旅费、维修(护)费、会议费、培训费、公务接待费、福利费、税金、其他商品服务支出等，保证正常运转。</w:t>
      </w:r>
      <w:r>
        <w:rPr>
          <w:rFonts w:ascii="楷体" w:eastAsia="楷体" w:hAnsi="楷体" w:hint="eastAsia"/>
          <w:sz w:val="32"/>
          <w:szCs w:val="32"/>
        </w:rPr>
        <w:t>（3）对个人和家庭补助</w:t>
      </w:r>
      <w:r w:rsidR="004B52B1">
        <w:rPr>
          <w:rFonts w:ascii="楷体" w:eastAsia="楷体" w:hAnsi="楷体" w:hint="eastAsia"/>
          <w:sz w:val="32"/>
          <w:szCs w:val="32"/>
        </w:rPr>
        <w:t>29.55</w:t>
      </w:r>
      <w:r>
        <w:rPr>
          <w:rFonts w:ascii="楷体" w:eastAsia="楷体" w:hAnsi="楷体" w:hint="eastAsia"/>
          <w:sz w:val="32"/>
          <w:szCs w:val="32"/>
        </w:rPr>
        <w:t>万元。</w:t>
      </w:r>
    </w:p>
    <w:p w:rsidR="00CE36DA" w:rsidRDefault="00CE36DA" w:rsidP="00CE36DA">
      <w:pPr>
        <w:ind w:firstLineChars="228" w:firstLine="73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2</w:t>
      </w:r>
      <w:r w:rsidRPr="00371B91">
        <w:rPr>
          <w:rFonts w:ascii="楷体" w:eastAsia="楷体" w:hAnsi="楷体" w:hint="eastAsia"/>
          <w:sz w:val="32"/>
          <w:szCs w:val="32"/>
        </w:rPr>
        <w:t>、</w:t>
      </w:r>
      <w:r>
        <w:rPr>
          <w:rFonts w:ascii="楷体" w:eastAsia="楷体" w:hAnsi="楷体" w:hint="eastAsia"/>
          <w:sz w:val="32"/>
          <w:szCs w:val="32"/>
        </w:rPr>
        <w:t>项目支出</w:t>
      </w:r>
      <w:r w:rsidR="00B54B8A">
        <w:rPr>
          <w:rFonts w:ascii="楷体" w:eastAsia="楷体" w:hAnsi="楷体" w:hint="eastAsia"/>
          <w:sz w:val="32"/>
          <w:szCs w:val="32"/>
        </w:rPr>
        <w:t>3117</w:t>
      </w:r>
      <w:r>
        <w:rPr>
          <w:rFonts w:ascii="楷体" w:eastAsia="楷体" w:hAnsi="楷体" w:hint="eastAsia"/>
          <w:sz w:val="32"/>
          <w:szCs w:val="32"/>
        </w:rPr>
        <w:t>万元，其中一般行政管理事务</w:t>
      </w:r>
      <w:r w:rsidR="00B54B8A">
        <w:rPr>
          <w:rFonts w:ascii="楷体" w:eastAsia="楷体" w:hAnsi="楷体" w:hint="eastAsia"/>
          <w:sz w:val="32"/>
          <w:szCs w:val="32"/>
        </w:rPr>
        <w:t>264.75</w:t>
      </w:r>
      <w:r>
        <w:rPr>
          <w:rFonts w:ascii="楷体" w:eastAsia="楷体" w:hAnsi="楷体" w:hint="eastAsia"/>
          <w:sz w:val="32"/>
          <w:szCs w:val="32"/>
        </w:rPr>
        <w:t>万元，招商引资</w:t>
      </w:r>
      <w:r w:rsidR="00B54B8A">
        <w:rPr>
          <w:rFonts w:ascii="楷体" w:eastAsia="楷体" w:hAnsi="楷体" w:hint="eastAsia"/>
          <w:sz w:val="32"/>
          <w:szCs w:val="32"/>
        </w:rPr>
        <w:t>45.84</w:t>
      </w:r>
      <w:r>
        <w:rPr>
          <w:rFonts w:ascii="楷体" w:eastAsia="楷体" w:hAnsi="楷体" w:hint="eastAsia"/>
          <w:sz w:val="32"/>
          <w:szCs w:val="32"/>
        </w:rPr>
        <w:t>万元，其他商贸事务支出</w:t>
      </w:r>
      <w:r w:rsidR="00B54B8A">
        <w:rPr>
          <w:rFonts w:ascii="楷体" w:eastAsia="楷体" w:hAnsi="楷体" w:hint="eastAsia"/>
          <w:sz w:val="32"/>
          <w:szCs w:val="32"/>
        </w:rPr>
        <w:t>63</w:t>
      </w:r>
      <w:r>
        <w:rPr>
          <w:rFonts w:ascii="楷体" w:eastAsia="楷体" w:hAnsi="楷体" w:hint="eastAsia"/>
          <w:sz w:val="32"/>
          <w:szCs w:val="32"/>
        </w:rPr>
        <w:t>万元，其他一般公共服务支出</w:t>
      </w:r>
      <w:r w:rsidR="00B54B8A">
        <w:rPr>
          <w:rFonts w:ascii="楷体" w:eastAsia="楷体" w:hAnsi="楷体" w:hint="eastAsia"/>
          <w:sz w:val="32"/>
          <w:szCs w:val="32"/>
        </w:rPr>
        <w:t>6</w:t>
      </w:r>
      <w:r>
        <w:rPr>
          <w:rFonts w:ascii="楷体" w:eastAsia="楷体" w:hAnsi="楷体" w:hint="eastAsia"/>
          <w:sz w:val="32"/>
          <w:szCs w:val="32"/>
        </w:rPr>
        <w:t>万元，社会保障和就业支出</w:t>
      </w:r>
      <w:r w:rsidR="00B54B8A">
        <w:rPr>
          <w:rFonts w:ascii="楷体" w:eastAsia="楷体" w:hAnsi="楷体" w:hint="eastAsia"/>
          <w:sz w:val="32"/>
          <w:szCs w:val="32"/>
        </w:rPr>
        <w:t>63.98</w:t>
      </w:r>
      <w:r>
        <w:rPr>
          <w:rFonts w:ascii="楷体" w:eastAsia="楷体" w:hAnsi="楷体" w:hint="eastAsia"/>
          <w:sz w:val="32"/>
          <w:szCs w:val="32"/>
        </w:rPr>
        <w:t>万元，商业流通事务</w:t>
      </w:r>
      <w:r w:rsidR="00B54B8A">
        <w:rPr>
          <w:rFonts w:ascii="楷体" w:eastAsia="楷体" w:hAnsi="楷体" w:hint="eastAsia"/>
          <w:sz w:val="32"/>
          <w:szCs w:val="32"/>
        </w:rPr>
        <w:t>35.94</w:t>
      </w:r>
      <w:r>
        <w:rPr>
          <w:rFonts w:ascii="楷体" w:eastAsia="楷体" w:hAnsi="楷体" w:hint="eastAsia"/>
          <w:sz w:val="32"/>
          <w:szCs w:val="32"/>
        </w:rPr>
        <w:t>万元，涉外发展服务支出</w:t>
      </w:r>
      <w:r w:rsidR="00B54B8A">
        <w:rPr>
          <w:rFonts w:ascii="楷体" w:eastAsia="楷体" w:hAnsi="楷体" w:hint="eastAsia"/>
          <w:sz w:val="32"/>
          <w:szCs w:val="32"/>
        </w:rPr>
        <w:t>87</w:t>
      </w:r>
      <w:r>
        <w:rPr>
          <w:rFonts w:ascii="楷体" w:eastAsia="楷体" w:hAnsi="楷体" w:hint="eastAsia"/>
          <w:sz w:val="32"/>
          <w:szCs w:val="32"/>
        </w:rPr>
        <w:t>万元，粮油物资储备支出</w:t>
      </w:r>
      <w:r w:rsidR="00B54B8A">
        <w:rPr>
          <w:rFonts w:ascii="楷体" w:eastAsia="楷体" w:hAnsi="楷体" w:hint="eastAsia"/>
          <w:sz w:val="32"/>
          <w:szCs w:val="32"/>
        </w:rPr>
        <w:t>2295.89</w:t>
      </w:r>
      <w:r>
        <w:rPr>
          <w:rFonts w:ascii="楷体" w:eastAsia="楷体" w:hAnsi="楷体" w:hint="eastAsia"/>
          <w:sz w:val="32"/>
          <w:szCs w:val="32"/>
        </w:rPr>
        <w:t>万元</w:t>
      </w:r>
      <w:r w:rsidR="00B54B8A">
        <w:rPr>
          <w:rFonts w:ascii="楷体" w:eastAsia="楷体" w:hAnsi="楷体" w:hint="eastAsia"/>
          <w:sz w:val="32"/>
          <w:szCs w:val="32"/>
        </w:rPr>
        <w:t>，其他支出254.6万元</w:t>
      </w:r>
      <w:r>
        <w:rPr>
          <w:rFonts w:ascii="楷体" w:eastAsia="楷体" w:hAnsi="楷体" w:hint="eastAsia"/>
          <w:sz w:val="32"/>
          <w:szCs w:val="32"/>
        </w:rPr>
        <w:t>。</w:t>
      </w:r>
    </w:p>
    <w:p w:rsidR="00CE36DA" w:rsidRPr="00210342" w:rsidRDefault="00CE36DA" w:rsidP="00CE36DA">
      <w:pPr>
        <w:ind w:firstLineChars="228" w:firstLine="732"/>
        <w:rPr>
          <w:rFonts w:ascii="楷体" w:eastAsia="楷体" w:hAnsi="楷体"/>
          <w:b/>
          <w:sz w:val="32"/>
          <w:szCs w:val="32"/>
        </w:rPr>
      </w:pPr>
      <w:r w:rsidRPr="00210342">
        <w:rPr>
          <w:rFonts w:ascii="楷体" w:eastAsia="楷体" w:hAnsi="楷体" w:hint="eastAsia"/>
          <w:b/>
          <w:sz w:val="32"/>
          <w:szCs w:val="32"/>
        </w:rPr>
        <w:t>三、部门绩效目标</w:t>
      </w:r>
    </w:p>
    <w:p w:rsidR="00CE36DA" w:rsidRDefault="00CE36DA" w:rsidP="00CE36DA">
      <w:pPr>
        <w:ind w:firstLineChars="228" w:firstLine="730"/>
        <w:rPr>
          <w:rFonts w:ascii="楷体" w:eastAsia="楷体" w:hAnsi="楷体"/>
          <w:sz w:val="32"/>
          <w:szCs w:val="32"/>
        </w:rPr>
      </w:pPr>
      <w:r w:rsidRPr="003D7233">
        <w:rPr>
          <w:rFonts w:ascii="楷体" w:eastAsia="楷体" w:hAnsi="楷体" w:hint="eastAsia"/>
          <w:sz w:val="32"/>
          <w:szCs w:val="32"/>
        </w:rPr>
        <w:t>严格</w:t>
      </w:r>
      <w:r>
        <w:rPr>
          <w:rFonts w:ascii="楷体" w:eastAsia="楷体" w:hAnsi="楷体" w:hint="eastAsia"/>
          <w:sz w:val="32"/>
          <w:szCs w:val="32"/>
        </w:rPr>
        <w:t>按照预算资金绩效管理的相关要求，</w:t>
      </w:r>
      <w:r w:rsidRPr="003D7233">
        <w:rPr>
          <w:rFonts w:ascii="楷体" w:eastAsia="楷体" w:hAnsi="楷体" w:hint="eastAsia"/>
          <w:sz w:val="32"/>
          <w:szCs w:val="32"/>
        </w:rPr>
        <w:t>规范管理和使用预算资金，</w:t>
      </w:r>
      <w:r>
        <w:rPr>
          <w:rFonts w:ascii="楷体" w:eastAsia="楷体" w:hAnsi="楷体" w:hint="eastAsia"/>
          <w:sz w:val="32"/>
          <w:szCs w:val="32"/>
        </w:rPr>
        <w:t>保证</w:t>
      </w:r>
      <w:r w:rsidRPr="003D7233">
        <w:rPr>
          <w:rFonts w:ascii="楷体" w:eastAsia="楷体" w:hAnsi="楷体" w:hint="eastAsia"/>
          <w:sz w:val="32"/>
          <w:szCs w:val="32"/>
        </w:rPr>
        <w:t>单位正常运转和</w:t>
      </w:r>
      <w:r>
        <w:rPr>
          <w:rFonts w:ascii="楷体" w:eastAsia="楷体" w:hAnsi="楷体" w:hint="eastAsia"/>
          <w:sz w:val="32"/>
          <w:szCs w:val="32"/>
        </w:rPr>
        <w:t>履行好工作职能，充分发挥预算资金效益，进一步提升部门工作效率。</w:t>
      </w:r>
    </w:p>
    <w:p w:rsidR="00CE36DA" w:rsidRPr="00210342" w:rsidRDefault="00CE36DA" w:rsidP="00CE36DA">
      <w:pPr>
        <w:ind w:firstLineChars="228" w:firstLine="732"/>
        <w:rPr>
          <w:rFonts w:ascii="楷体" w:eastAsia="楷体" w:hAnsi="楷体"/>
          <w:b/>
          <w:sz w:val="32"/>
          <w:szCs w:val="32"/>
        </w:rPr>
      </w:pPr>
      <w:r w:rsidRPr="00210342">
        <w:rPr>
          <w:rFonts w:ascii="楷体" w:eastAsia="楷体" w:hAnsi="楷体" w:hint="eastAsia"/>
          <w:b/>
          <w:sz w:val="32"/>
          <w:szCs w:val="32"/>
        </w:rPr>
        <w:t>四、部门整体绩效情况</w:t>
      </w:r>
    </w:p>
    <w:p w:rsidR="00CE36DA" w:rsidRPr="00D767FB" w:rsidRDefault="00CE36DA" w:rsidP="00CE36DA">
      <w:pPr>
        <w:spacing w:line="560" w:lineRule="exact"/>
        <w:ind w:firstLineChars="200" w:firstLine="643"/>
        <w:rPr>
          <w:rFonts w:ascii="楷体" w:eastAsia="楷体" w:hAnsi="楷体" w:cs="仿宋"/>
          <w:color w:val="000000"/>
          <w:sz w:val="32"/>
          <w:szCs w:val="32"/>
        </w:rPr>
      </w:pPr>
      <w:r w:rsidRPr="00B513B4"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1.招商引资</w:t>
      </w: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工作成绩显著</w:t>
      </w:r>
      <w:r w:rsidRPr="00B513B4"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。</w:t>
      </w:r>
      <w:r w:rsidRPr="00D767FB">
        <w:rPr>
          <w:rFonts w:ascii="楷体" w:eastAsia="楷体" w:hAnsi="楷体" w:cs="仿宋" w:hint="eastAsia"/>
          <w:color w:val="000000"/>
          <w:sz w:val="32"/>
          <w:szCs w:val="32"/>
        </w:rPr>
        <w:t>202</w:t>
      </w:r>
      <w:r w:rsidR="004A495B">
        <w:rPr>
          <w:rFonts w:ascii="楷体" w:eastAsia="楷体" w:hAnsi="楷体" w:cs="仿宋" w:hint="eastAsia"/>
          <w:color w:val="000000"/>
          <w:sz w:val="32"/>
          <w:szCs w:val="32"/>
        </w:rPr>
        <w:t>2</w:t>
      </w:r>
      <w:r w:rsidRPr="00D767FB">
        <w:rPr>
          <w:rFonts w:ascii="楷体" w:eastAsia="楷体" w:hAnsi="楷体" w:cs="仿宋" w:hint="eastAsia"/>
          <w:color w:val="000000"/>
          <w:sz w:val="32"/>
          <w:szCs w:val="32"/>
        </w:rPr>
        <w:t>年全面推动“有色金属产业链、纺织产业链”两大千亿级产业园区的招商引资工作。目前，</w:t>
      </w:r>
      <w:r w:rsidR="004A495B">
        <w:rPr>
          <w:rFonts w:ascii="楷体" w:eastAsia="楷体" w:hAnsi="楷体" w:cs="仿宋" w:hint="eastAsia"/>
          <w:color w:val="000000"/>
          <w:sz w:val="32"/>
          <w:szCs w:val="32"/>
        </w:rPr>
        <w:t>湘南纺织产业基地项目已完成招商入驻企业20家，开工投产企业11家；环保设施园已完成招商入驻企业7家。</w:t>
      </w:r>
    </w:p>
    <w:p w:rsidR="00CE36DA" w:rsidRPr="00D767FB" w:rsidRDefault="00CE36DA" w:rsidP="00CE36DA">
      <w:pPr>
        <w:ind w:firstLineChars="200" w:firstLine="643"/>
        <w:rPr>
          <w:rFonts w:ascii="楷体" w:eastAsia="楷体" w:hAnsi="楷体" w:cs="仿宋"/>
          <w:color w:val="000000"/>
          <w:sz w:val="32"/>
          <w:szCs w:val="32"/>
        </w:rPr>
      </w:pPr>
      <w:r w:rsidRPr="003363B8">
        <w:rPr>
          <w:rFonts w:ascii="楷体" w:eastAsia="楷体" w:hAnsi="楷体" w:hint="eastAsia"/>
          <w:b/>
          <w:color w:val="000000"/>
          <w:sz w:val="32"/>
          <w:szCs w:val="32"/>
        </w:rPr>
        <w:t>2、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全面落实粮食收购政策，确保粮食安全</w:t>
      </w:r>
      <w:r w:rsidRPr="003363B8">
        <w:rPr>
          <w:rFonts w:ascii="楷体" w:eastAsia="楷体" w:hAnsi="楷体" w:hint="eastAsia"/>
          <w:b/>
          <w:color w:val="000000"/>
          <w:sz w:val="32"/>
          <w:szCs w:val="32"/>
        </w:rPr>
        <w:t>。</w:t>
      </w:r>
      <w:r>
        <w:rPr>
          <w:rFonts w:ascii="楷体" w:eastAsia="楷体" w:hAnsi="楷体" w:cs="仿宋" w:hint="eastAsia"/>
          <w:color w:val="000000"/>
          <w:sz w:val="32"/>
          <w:szCs w:val="32"/>
        </w:rPr>
        <w:t>按照</w:t>
      </w:r>
      <w:r w:rsidRPr="00D767FB">
        <w:rPr>
          <w:rFonts w:ascii="楷体" w:eastAsia="楷体" w:hAnsi="楷体" w:cs="仿宋" w:hint="eastAsia"/>
          <w:color w:val="000000"/>
          <w:sz w:val="32"/>
          <w:szCs w:val="32"/>
        </w:rPr>
        <w:t>国家、省、市级粮食收购政策， 202</w:t>
      </w:r>
      <w:r w:rsidR="004A495B">
        <w:rPr>
          <w:rFonts w:ascii="楷体" w:eastAsia="楷体" w:hAnsi="楷体" w:cs="仿宋" w:hint="eastAsia"/>
          <w:color w:val="000000"/>
          <w:sz w:val="32"/>
          <w:szCs w:val="32"/>
        </w:rPr>
        <w:t>2</w:t>
      </w:r>
      <w:r w:rsidRPr="00D767FB">
        <w:rPr>
          <w:rFonts w:ascii="楷体" w:eastAsia="楷体" w:hAnsi="楷体" w:cs="仿宋" w:hint="eastAsia"/>
          <w:color w:val="000000"/>
          <w:sz w:val="32"/>
          <w:szCs w:val="32"/>
        </w:rPr>
        <w:t>年继续执行重金属超标粮的临时收购保管政策，有效地缓解了种粮农户卖粮难的问题，较好</w:t>
      </w:r>
      <w:r w:rsidRPr="00D767FB">
        <w:rPr>
          <w:rFonts w:ascii="楷体" w:eastAsia="楷体" w:hAnsi="楷体" w:cs="仿宋" w:hint="eastAsia"/>
          <w:color w:val="000000"/>
          <w:sz w:val="32"/>
          <w:szCs w:val="32"/>
        </w:rPr>
        <w:lastRenderedPageBreak/>
        <w:t>地维护了全市种粮农户的积极性。</w:t>
      </w:r>
    </w:p>
    <w:p w:rsidR="00CE36DA" w:rsidRPr="00D767FB" w:rsidRDefault="00CE36DA" w:rsidP="00CE36DA">
      <w:pPr>
        <w:ind w:firstLine="660"/>
        <w:rPr>
          <w:rFonts w:ascii="楷体" w:eastAsia="楷体" w:hAnsi="楷体" w:cs="仿宋"/>
          <w:color w:val="000000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3、</w:t>
      </w:r>
      <w:r w:rsidRPr="00FE32E9">
        <w:rPr>
          <w:rFonts w:ascii="楷体" w:eastAsia="楷体" w:hAnsi="楷体" w:hint="eastAsia"/>
          <w:b/>
          <w:sz w:val="32"/>
          <w:szCs w:val="32"/>
        </w:rPr>
        <w:t>应急物质储备保障有力。</w:t>
      </w:r>
      <w:r w:rsidRPr="00D767FB">
        <w:rPr>
          <w:rFonts w:ascii="楷体" w:eastAsia="楷体" w:hAnsi="楷体" w:cs="仿宋" w:hint="eastAsia"/>
          <w:color w:val="000000"/>
          <w:sz w:val="32"/>
          <w:szCs w:val="32"/>
        </w:rPr>
        <w:t>我局始终把各类应急物质储备作为一项政治任务来落实，设立了专门的仓库存放，安排了专门人员值守，并定期对所储物质进行维护，坚决保证了物质储备充足良好，关键时刻不仅调得出，还要保证用得上。</w:t>
      </w:r>
    </w:p>
    <w:p w:rsidR="00CE36DA" w:rsidRPr="00D767FB" w:rsidRDefault="00CE36DA" w:rsidP="00CE36DA">
      <w:pPr>
        <w:ind w:firstLineChars="200" w:firstLine="643"/>
        <w:rPr>
          <w:rFonts w:ascii="楷体" w:eastAsia="楷体" w:hAnsi="楷体" w:cs="仿宋"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4</w:t>
      </w:r>
      <w:r w:rsidRPr="00FE32E9">
        <w:rPr>
          <w:rFonts w:ascii="楷体" w:eastAsia="楷体" w:hAnsi="楷体" w:hint="eastAsia"/>
          <w:b/>
          <w:sz w:val="32"/>
          <w:szCs w:val="32"/>
        </w:rPr>
        <w:t>、开放型经济发展工作稳步推进。</w:t>
      </w:r>
      <w:r w:rsidRPr="00D767FB">
        <w:rPr>
          <w:rFonts w:ascii="楷体" w:eastAsia="楷体" w:hAnsi="楷体" w:cs="仿宋" w:hint="eastAsia"/>
          <w:color w:val="000000"/>
          <w:sz w:val="32"/>
          <w:szCs w:val="32"/>
        </w:rPr>
        <w:t>全市202</w:t>
      </w:r>
      <w:r w:rsidR="004A495B">
        <w:rPr>
          <w:rFonts w:ascii="楷体" w:eastAsia="楷体" w:hAnsi="楷体" w:cs="仿宋" w:hint="eastAsia"/>
          <w:color w:val="000000"/>
          <w:sz w:val="32"/>
          <w:szCs w:val="32"/>
        </w:rPr>
        <w:t>2</w:t>
      </w:r>
      <w:r w:rsidRPr="00D767FB">
        <w:rPr>
          <w:rFonts w:ascii="楷体" w:eastAsia="楷体" w:hAnsi="楷体" w:cs="仿宋" w:hint="eastAsia"/>
          <w:color w:val="000000"/>
          <w:sz w:val="32"/>
          <w:szCs w:val="32"/>
        </w:rPr>
        <w:t>年实现进出口业绩破零的外贸实体企业</w:t>
      </w:r>
      <w:r w:rsidR="004A495B">
        <w:rPr>
          <w:rFonts w:ascii="楷体" w:eastAsia="楷体" w:hAnsi="楷体" w:cs="仿宋" w:hint="eastAsia"/>
          <w:color w:val="000000"/>
          <w:sz w:val="32"/>
          <w:szCs w:val="32"/>
        </w:rPr>
        <w:t>4</w:t>
      </w:r>
      <w:r w:rsidRPr="00D767FB">
        <w:rPr>
          <w:rFonts w:ascii="楷体" w:eastAsia="楷体" w:hAnsi="楷体" w:cs="仿宋" w:hint="eastAsia"/>
          <w:color w:val="000000"/>
          <w:sz w:val="32"/>
          <w:szCs w:val="32"/>
        </w:rPr>
        <w:t>家。通过这些企业的引进和培育，带动新增就业人数</w:t>
      </w:r>
      <w:r w:rsidR="004A495B">
        <w:rPr>
          <w:rFonts w:ascii="楷体" w:eastAsia="楷体" w:hAnsi="楷体" w:cs="仿宋" w:hint="eastAsia"/>
          <w:color w:val="000000"/>
          <w:sz w:val="32"/>
          <w:szCs w:val="32"/>
        </w:rPr>
        <w:t>5</w:t>
      </w:r>
      <w:r w:rsidRPr="00D767FB">
        <w:rPr>
          <w:rFonts w:ascii="楷体" w:eastAsia="楷体" w:hAnsi="楷体" w:cs="仿宋" w:hint="eastAsia"/>
          <w:color w:val="000000"/>
          <w:sz w:val="32"/>
          <w:szCs w:val="32"/>
        </w:rPr>
        <w:t>00人。</w:t>
      </w:r>
    </w:p>
    <w:p w:rsidR="00CE36DA" w:rsidRPr="00D767FB" w:rsidRDefault="00CE36DA" w:rsidP="00CE36DA">
      <w:pPr>
        <w:ind w:firstLineChars="200" w:firstLine="643"/>
        <w:rPr>
          <w:rFonts w:ascii="楷体" w:eastAsia="楷体" w:hAnsi="楷体" w:cs="仿宋"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5</w:t>
      </w:r>
      <w:r w:rsidRPr="00E65C09">
        <w:rPr>
          <w:rFonts w:ascii="楷体" w:eastAsia="楷体" w:hAnsi="楷体" w:hint="eastAsia"/>
          <w:b/>
          <w:color w:val="000000"/>
          <w:sz w:val="32"/>
          <w:szCs w:val="32"/>
        </w:rPr>
        <w:t>、粮食仓储设施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智能化</w:t>
      </w:r>
      <w:r w:rsidRPr="00E65C09">
        <w:rPr>
          <w:rFonts w:ascii="楷体" w:eastAsia="楷体" w:hAnsi="楷体" w:hint="eastAsia"/>
          <w:b/>
          <w:color w:val="000000"/>
          <w:sz w:val="32"/>
          <w:szCs w:val="32"/>
        </w:rPr>
        <w:t>建设进一步加强。</w:t>
      </w:r>
      <w:r w:rsidRPr="00D767FB">
        <w:rPr>
          <w:rFonts w:ascii="楷体" w:eastAsia="楷体" w:hAnsi="楷体" w:cs="仿宋" w:hint="eastAsia"/>
          <w:color w:val="000000"/>
          <w:sz w:val="32"/>
          <w:szCs w:val="32"/>
        </w:rPr>
        <w:t>202</w:t>
      </w:r>
      <w:r w:rsidR="004A495B">
        <w:rPr>
          <w:rFonts w:ascii="楷体" w:eastAsia="楷体" w:hAnsi="楷体" w:cs="仿宋" w:hint="eastAsia"/>
          <w:color w:val="000000"/>
          <w:sz w:val="32"/>
          <w:szCs w:val="32"/>
        </w:rPr>
        <w:t>2</w:t>
      </w:r>
      <w:r w:rsidRPr="00D767FB">
        <w:rPr>
          <w:rFonts w:ascii="楷体" w:eastAsia="楷体" w:hAnsi="楷体" w:cs="仿宋" w:hint="eastAsia"/>
          <w:color w:val="000000"/>
          <w:sz w:val="32"/>
          <w:szCs w:val="32"/>
        </w:rPr>
        <w:t>年，我局加强了对现有仓储设施的提质改造，对所有仓库进行了维护，增添了电子监控、符合现代储粮要求的智能化设备，大大地提高了仓储设施的现代化水平。项目实施后，为全市粮食储备、各级储备粮轮换，确保全市粮食安全提供了有力地保障。</w:t>
      </w:r>
    </w:p>
    <w:p w:rsidR="00CE36DA" w:rsidRPr="00210342" w:rsidRDefault="00CE36DA" w:rsidP="00CE36DA">
      <w:pPr>
        <w:ind w:firstLine="660"/>
        <w:rPr>
          <w:rFonts w:ascii="楷体" w:eastAsia="楷体" w:hAnsi="楷体"/>
          <w:b/>
          <w:color w:val="000000"/>
          <w:sz w:val="32"/>
          <w:szCs w:val="32"/>
        </w:rPr>
      </w:pPr>
      <w:r w:rsidRPr="00210342">
        <w:rPr>
          <w:rFonts w:ascii="楷体" w:eastAsia="楷体" w:hAnsi="楷体" w:hint="eastAsia"/>
          <w:b/>
          <w:color w:val="000000"/>
          <w:sz w:val="32"/>
          <w:szCs w:val="32"/>
        </w:rPr>
        <w:t>五、存在的问题</w:t>
      </w:r>
    </w:p>
    <w:p w:rsidR="00CE36DA" w:rsidRDefault="00CE36DA" w:rsidP="00CE36DA">
      <w:pPr>
        <w:ind w:firstLineChars="228" w:firstLine="73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1、由于财政预算收入的逐年减少，机关人员经费保证越来越吃紧，甚至影响日常工作的正常开展。</w:t>
      </w:r>
    </w:p>
    <w:p w:rsidR="00CE36DA" w:rsidRDefault="00CE36DA" w:rsidP="00CE36DA">
      <w:pPr>
        <w:ind w:firstLine="645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2、近年来，国家提高了对退休老干部的福利待遇的标准，为了保证退休老干部的福利待遇，只能压缩机关的工作经费，甚至有时挤占项目支出资金。</w:t>
      </w:r>
    </w:p>
    <w:p w:rsidR="009957CE" w:rsidRPr="004A495B" w:rsidRDefault="00CE36DA" w:rsidP="004A495B">
      <w:pPr>
        <w:ind w:firstLine="645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3、虽然每个项目支出都能按照预算资金绩效管理的相关要求进行管理，但还是存在个别项目支出的绩效目标难以达到要求。</w:t>
      </w:r>
    </w:p>
    <w:sectPr w:rsidR="009957CE" w:rsidRPr="004A495B" w:rsidSect="008C57A4">
      <w:headerReference w:type="default" r:id="rId6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DA5" w:rsidRDefault="00734DA5" w:rsidP="00940729">
      <w:r>
        <w:separator/>
      </w:r>
    </w:p>
  </w:endnote>
  <w:endnote w:type="continuationSeparator" w:id="0">
    <w:p w:rsidR="00734DA5" w:rsidRDefault="00734DA5" w:rsidP="00940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DA5" w:rsidRDefault="00734DA5" w:rsidP="00940729">
      <w:r>
        <w:separator/>
      </w:r>
    </w:p>
  </w:footnote>
  <w:footnote w:type="continuationSeparator" w:id="0">
    <w:p w:rsidR="00734DA5" w:rsidRDefault="00734DA5" w:rsidP="009407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D99" w:rsidRDefault="00734DA5" w:rsidP="000D54C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36DA"/>
    <w:rsid w:val="004A495B"/>
    <w:rsid w:val="004B52B1"/>
    <w:rsid w:val="005309E4"/>
    <w:rsid w:val="00734DA5"/>
    <w:rsid w:val="00940729"/>
    <w:rsid w:val="009957CE"/>
    <w:rsid w:val="00B54B8A"/>
    <w:rsid w:val="00CE3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6D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3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36D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4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495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2023-08-29T03:37:00Z</dcterms:created>
  <dcterms:modified xsi:type="dcterms:W3CDTF">2023-09-05T02:56:00Z</dcterms:modified>
</cp:coreProperties>
</file>