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560" w:firstLineChars="200"/>
        <w:rPr>
          <w:rFonts w:hint="eastAsia"/>
          <w:lang w:val="en-US" w:eastAsia="zh-CN"/>
        </w:rPr>
      </w:pPr>
      <w:r>
        <w:rPr>
          <w:rFonts w:hint="eastAsia" w:ascii="仿宋" w:hAnsi="仿宋" w:eastAsia="仿宋" w:cs="仿宋"/>
          <w:color w:val="000000"/>
          <w:sz w:val="28"/>
        </w:rPr>
        <w:t xml:space="preserve">附件：               </w:t>
      </w:r>
      <w:r>
        <w:rPr>
          <w:rFonts w:hint="eastAsia" w:ascii="仿宋" w:hAnsi="仿宋" w:eastAsia="仿宋" w:cs="仿宋"/>
          <w:b/>
          <w:bCs/>
          <w:color w:val="000000"/>
          <w:sz w:val="28"/>
        </w:rPr>
        <w:t xml:space="preserve"> </w:t>
      </w:r>
      <w:bookmarkStart w:id="0" w:name="_GoBack"/>
      <w:r>
        <w:rPr>
          <w:rFonts w:hint="eastAsia"/>
          <w:lang w:val="en-US" w:eastAsia="zh-CN"/>
        </w:rPr>
        <w:t>常宁市</w:t>
      </w:r>
      <w:r>
        <w:rPr>
          <w:rFonts w:hint="eastAsia"/>
        </w:rPr>
        <w:t>202</w:t>
      </w:r>
      <w:r>
        <w:rPr>
          <w:rFonts w:hint="eastAsia"/>
          <w:lang w:val="en-US" w:eastAsia="zh-CN"/>
        </w:rPr>
        <w:t>3</w:t>
      </w:r>
      <w:r>
        <w:rPr>
          <w:rFonts w:hint="eastAsia"/>
        </w:rPr>
        <w:t>年</w:t>
      </w:r>
      <w:r>
        <w:rPr>
          <w:rFonts w:hint="eastAsia"/>
          <w:lang w:val="en-US" w:eastAsia="zh-CN"/>
        </w:rPr>
        <w:t>第二批</w:t>
      </w:r>
      <w:r>
        <w:rPr>
          <w:rFonts w:hint="eastAsia"/>
        </w:rPr>
        <w:t>湘江干流入河排污口</w:t>
      </w:r>
      <w:r>
        <w:rPr>
          <w:rFonts w:hint="eastAsia"/>
          <w:lang w:val="en-US" w:eastAsia="zh-CN"/>
        </w:rPr>
        <w:t>整治清单</w:t>
      </w:r>
      <w:bookmarkEnd w:id="0"/>
    </w:p>
    <w:p>
      <w:pPr>
        <w:pStyle w:val="2"/>
        <w:jc w:val="left"/>
      </w:pPr>
    </w:p>
    <w:tbl>
      <w:tblPr>
        <w:tblStyle w:val="11"/>
        <w:tblW w:w="5163" w:type="pct"/>
        <w:jc w:val="center"/>
        <w:tblLayout w:type="fixed"/>
        <w:tblCellMar>
          <w:top w:w="0" w:type="dxa"/>
          <w:left w:w="108" w:type="dxa"/>
          <w:bottom w:w="0" w:type="dxa"/>
          <w:right w:w="108" w:type="dxa"/>
        </w:tblCellMar>
      </w:tblPr>
      <w:tblGrid>
        <w:gridCol w:w="305"/>
        <w:gridCol w:w="339"/>
        <w:gridCol w:w="1049"/>
        <w:gridCol w:w="748"/>
        <w:gridCol w:w="881"/>
        <w:gridCol w:w="509"/>
        <w:gridCol w:w="507"/>
        <w:gridCol w:w="706"/>
        <w:gridCol w:w="680"/>
        <w:gridCol w:w="640"/>
        <w:gridCol w:w="827"/>
        <w:gridCol w:w="1213"/>
        <w:gridCol w:w="507"/>
        <w:gridCol w:w="2983"/>
        <w:gridCol w:w="615"/>
        <w:gridCol w:w="668"/>
        <w:gridCol w:w="760"/>
        <w:gridCol w:w="1443"/>
      </w:tblGrid>
      <w:tr>
        <w:tblPrEx>
          <w:tblCellMar>
            <w:top w:w="0" w:type="dxa"/>
            <w:left w:w="108" w:type="dxa"/>
            <w:bottom w:w="0" w:type="dxa"/>
            <w:right w:w="108" w:type="dxa"/>
          </w:tblCellMar>
        </w:tblPrEx>
        <w:trPr>
          <w:trHeight w:val="678" w:hRule="atLeast"/>
          <w:jc w:val="center"/>
        </w:trPr>
        <w:tc>
          <w:tcPr>
            <w:tcW w:w="1410" w:type="pct"/>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基本情况</w:t>
            </w: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排污口分类</w:t>
            </w:r>
          </w:p>
        </w:tc>
        <w:tc>
          <w:tcPr>
            <w:tcW w:w="20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Times New Roman" w:hAnsi="Times New Roman" w:eastAsia="仿宋" w:cs="宋体"/>
                <w:b/>
                <w:bCs/>
                <w:color w:val="auto"/>
                <w:kern w:val="0"/>
                <w:sz w:val="18"/>
                <w:szCs w:val="28"/>
                <w:lang w:bidi="ar"/>
              </w:rPr>
            </w:pPr>
            <w:r>
              <w:rPr>
                <w:rFonts w:hint="eastAsia" w:ascii="Times New Roman" w:hAnsi="Times New Roman" w:eastAsia="仿宋" w:cs="宋体"/>
                <w:b/>
                <w:bCs/>
                <w:color w:val="auto"/>
                <w:kern w:val="0"/>
                <w:sz w:val="18"/>
                <w:szCs w:val="28"/>
                <w:lang w:bidi="ar"/>
              </w:rPr>
              <w:t>监测</w:t>
            </w:r>
          </w:p>
          <w:p>
            <w:pPr>
              <w:widowControl/>
              <w:spacing w:line="240" w:lineRule="exact"/>
              <w:jc w:val="center"/>
              <w:textAlignment w:val="center"/>
              <w:rPr>
                <w:rFonts w:hint="eastAsia" w:ascii="Times New Roman" w:hAnsi="Times New Roman" w:eastAsia="仿宋" w:cs="宋体"/>
                <w:b/>
                <w:bCs/>
                <w:color w:val="auto"/>
                <w:sz w:val="18"/>
                <w:szCs w:val="28"/>
                <w:lang w:val="en-US" w:eastAsia="zh-CN"/>
              </w:rPr>
            </w:pPr>
            <w:r>
              <w:rPr>
                <w:rFonts w:hint="eastAsia" w:ascii="Times New Roman" w:hAnsi="Times New Roman" w:eastAsia="仿宋" w:cs="宋体"/>
                <w:b/>
                <w:bCs/>
                <w:color w:val="auto"/>
                <w:kern w:val="0"/>
                <w:sz w:val="18"/>
                <w:szCs w:val="28"/>
                <w:lang w:val="en-US" w:eastAsia="zh-CN" w:bidi="ar"/>
              </w:rPr>
              <w:t>情况</w:t>
            </w:r>
          </w:p>
        </w:tc>
        <w:tc>
          <w:tcPr>
            <w:tcW w:w="26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Times New Roman" w:hAnsi="Times New Roman" w:eastAsia="仿宋" w:cs="宋体"/>
                <w:b/>
                <w:bCs/>
                <w:color w:val="auto"/>
                <w:kern w:val="0"/>
                <w:sz w:val="18"/>
                <w:szCs w:val="28"/>
                <w:lang w:val="en-US" w:eastAsia="zh-CN" w:bidi="ar"/>
              </w:rPr>
            </w:pPr>
            <w:r>
              <w:rPr>
                <w:rFonts w:hint="eastAsia" w:ascii="Times New Roman" w:hAnsi="Times New Roman" w:eastAsia="仿宋" w:cs="宋体"/>
                <w:b/>
                <w:bCs/>
                <w:color w:val="auto"/>
                <w:kern w:val="0"/>
                <w:sz w:val="18"/>
                <w:szCs w:val="28"/>
                <w:lang w:val="en-US" w:eastAsia="zh-CN" w:bidi="ar"/>
              </w:rPr>
              <w:t>溯源</w:t>
            </w:r>
          </w:p>
          <w:p>
            <w:pPr>
              <w:widowControl/>
              <w:spacing w:line="240" w:lineRule="exact"/>
              <w:jc w:val="center"/>
              <w:textAlignment w:val="center"/>
              <w:rPr>
                <w:rFonts w:hint="default" w:ascii="Times New Roman" w:hAnsi="Times New Roman" w:eastAsia="仿宋" w:cs="宋体"/>
                <w:b/>
                <w:bCs/>
                <w:color w:val="auto"/>
                <w:kern w:val="0"/>
                <w:sz w:val="18"/>
                <w:szCs w:val="28"/>
                <w:lang w:val="en-US" w:eastAsia="zh-CN" w:bidi="ar"/>
              </w:rPr>
            </w:pPr>
            <w:r>
              <w:rPr>
                <w:rFonts w:hint="eastAsia" w:ascii="Times New Roman" w:hAnsi="Times New Roman" w:eastAsia="仿宋" w:cs="宋体"/>
                <w:b/>
                <w:bCs/>
                <w:color w:val="auto"/>
                <w:kern w:val="0"/>
                <w:sz w:val="18"/>
                <w:szCs w:val="28"/>
                <w:lang w:val="en-US" w:eastAsia="zh-CN" w:bidi="ar"/>
              </w:rPr>
              <w:t>情况</w:t>
            </w:r>
          </w:p>
        </w:tc>
        <w:tc>
          <w:tcPr>
            <w:tcW w:w="1946"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整改情况</w:t>
            </w:r>
          </w:p>
        </w:tc>
        <w:tc>
          <w:tcPr>
            <w:tcW w:w="2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标志牌</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仿宋" w:cs="宋体"/>
                <w:color w:val="auto"/>
                <w:sz w:val="18"/>
                <w:szCs w:val="28"/>
              </w:rPr>
            </w:pPr>
          </w:p>
        </w:tc>
      </w:tr>
      <w:tr>
        <w:tblPrEx>
          <w:tblCellMar>
            <w:top w:w="0" w:type="dxa"/>
            <w:left w:w="108" w:type="dxa"/>
            <w:bottom w:w="0" w:type="dxa"/>
            <w:right w:w="108" w:type="dxa"/>
          </w:tblCellMar>
        </w:tblPrEx>
        <w:trPr>
          <w:trHeight w:val="1071"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Times New Roman" w:hAnsi="Times New Roman" w:eastAsia="仿宋" w:cs="宋体"/>
                <w:b/>
                <w:bCs/>
                <w:color w:val="auto"/>
                <w:kern w:val="0"/>
                <w:sz w:val="18"/>
                <w:szCs w:val="28"/>
                <w:lang w:bidi="ar"/>
              </w:rPr>
            </w:pPr>
            <w:r>
              <w:rPr>
                <w:rFonts w:hint="eastAsia" w:ascii="Times New Roman" w:hAnsi="Times New Roman" w:eastAsia="仿宋" w:cs="宋体"/>
                <w:b/>
                <w:bCs/>
                <w:color w:val="auto"/>
                <w:kern w:val="0"/>
                <w:sz w:val="18"/>
                <w:szCs w:val="28"/>
                <w:lang w:bidi="ar"/>
              </w:rPr>
              <w:t>序号</w:t>
            </w:r>
          </w:p>
        </w:tc>
        <w:tc>
          <w:tcPr>
            <w:tcW w:w="110"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Times New Roman" w:hAnsi="Times New Roman" w:eastAsia="仿宋" w:cs="宋体"/>
                <w:b/>
                <w:bCs/>
                <w:color w:val="auto"/>
                <w:kern w:val="0"/>
                <w:sz w:val="18"/>
                <w:szCs w:val="28"/>
                <w:lang w:bidi="ar"/>
              </w:rPr>
            </w:pPr>
            <w:r>
              <w:rPr>
                <w:rFonts w:hint="eastAsia" w:ascii="Times New Roman" w:hAnsi="Times New Roman" w:eastAsia="仿宋" w:cs="宋体"/>
                <w:b/>
                <w:bCs/>
                <w:color w:val="auto"/>
                <w:kern w:val="0"/>
                <w:sz w:val="18"/>
                <w:szCs w:val="28"/>
                <w:lang w:bidi="ar"/>
              </w:rPr>
              <w:t>正式编号</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kern w:val="0"/>
                <w:sz w:val="18"/>
                <w:szCs w:val="28"/>
                <w:lang w:bidi="ar"/>
              </w:rPr>
            </w:pPr>
            <w:r>
              <w:rPr>
                <w:rFonts w:hint="eastAsia" w:ascii="Times New Roman" w:hAnsi="Times New Roman" w:eastAsia="仿宋" w:cs="宋体"/>
                <w:b/>
                <w:bCs/>
                <w:color w:val="auto"/>
                <w:kern w:val="0"/>
                <w:sz w:val="18"/>
                <w:szCs w:val="28"/>
                <w:lang w:bidi="ar"/>
              </w:rPr>
              <w:t>排污口</w:t>
            </w:r>
          </w:p>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正式名称</w:t>
            </w:r>
          </w:p>
        </w:tc>
        <w:tc>
          <w:tcPr>
            <w:tcW w:w="24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kern w:val="0"/>
                <w:sz w:val="18"/>
                <w:szCs w:val="28"/>
                <w:lang w:bidi="ar"/>
              </w:rPr>
            </w:pPr>
            <w:r>
              <w:rPr>
                <w:rFonts w:hint="eastAsia" w:ascii="Times New Roman" w:hAnsi="Times New Roman" w:eastAsia="仿宋" w:cs="宋体"/>
                <w:b/>
                <w:bCs/>
                <w:color w:val="auto"/>
                <w:kern w:val="0"/>
                <w:sz w:val="18"/>
                <w:szCs w:val="28"/>
                <w:lang w:bidi="ar"/>
              </w:rPr>
              <w:t>排污口</w:t>
            </w:r>
          </w:p>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正式编码</w:t>
            </w:r>
          </w:p>
        </w:tc>
        <w:tc>
          <w:tcPr>
            <w:tcW w:w="28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详细地址</w:t>
            </w:r>
          </w:p>
        </w:tc>
        <w:tc>
          <w:tcPr>
            <w:tcW w:w="16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经度</w:t>
            </w:r>
          </w:p>
        </w:tc>
        <w:tc>
          <w:tcPr>
            <w:tcW w:w="16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纬度</w:t>
            </w:r>
          </w:p>
        </w:tc>
        <w:tc>
          <w:tcPr>
            <w:tcW w:w="22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排口类型大类</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排口类型小类</w:t>
            </w:r>
          </w:p>
        </w:tc>
        <w:tc>
          <w:tcPr>
            <w:tcW w:w="20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是否为超标排污口</w:t>
            </w:r>
          </w:p>
        </w:tc>
        <w:tc>
          <w:tcPr>
            <w:tcW w:w="26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源头</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存在问题</w:t>
            </w:r>
          </w:p>
        </w:tc>
        <w:tc>
          <w:tcPr>
            <w:tcW w:w="16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整改类型</w:t>
            </w:r>
          </w:p>
        </w:tc>
        <w:tc>
          <w:tcPr>
            <w:tcW w:w="96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建议整改措施</w:t>
            </w:r>
          </w:p>
        </w:tc>
        <w:tc>
          <w:tcPr>
            <w:tcW w:w="19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预计整改期限</w:t>
            </w:r>
          </w:p>
        </w:tc>
        <w:tc>
          <w:tcPr>
            <w:tcW w:w="21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主管部门</w:t>
            </w:r>
          </w:p>
        </w:tc>
        <w:tc>
          <w:tcPr>
            <w:tcW w:w="24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是否树立标志标牌</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Times New Roman" w:hAnsi="Times New Roman" w:eastAsia="仿宋" w:cs="宋体"/>
                <w:b/>
                <w:bCs/>
                <w:color w:val="auto"/>
                <w:sz w:val="18"/>
                <w:szCs w:val="28"/>
              </w:rPr>
            </w:pPr>
            <w:r>
              <w:rPr>
                <w:rFonts w:hint="eastAsia" w:ascii="Times New Roman" w:hAnsi="Times New Roman" w:eastAsia="仿宋" w:cs="宋体"/>
                <w:b/>
                <w:bCs/>
                <w:color w:val="auto"/>
                <w:kern w:val="0"/>
                <w:sz w:val="18"/>
                <w:szCs w:val="28"/>
                <w:lang w:bidi="ar"/>
              </w:rPr>
              <w:t>整治完成情况</w:t>
            </w:r>
          </w:p>
        </w:tc>
      </w:tr>
      <w:tr>
        <w:tblPrEx>
          <w:tblCellMar>
            <w:top w:w="0" w:type="dxa"/>
            <w:left w:w="108" w:type="dxa"/>
            <w:bottom w:w="0" w:type="dxa"/>
            <w:right w:w="108" w:type="dxa"/>
          </w:tblCellMar>
        </w:tblPrEx>
        <w:trPr>
          <w:trHeight w:val="212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947</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常宁市柏坊镇大新村正东300米处小桥右侧农业农村生活污水排污口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FG-430482-0003-NY-00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湖南省衡阳市常宁市柏坊镇新街社区横冲组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112.4694367</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26.54530756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农村生活污水排污口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老屋组街道房屋后25米排水口</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农村生活污水未经处理直排沟渠，水质浑浊</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农村生活污水在有条件的情况下，就近纳入城镇污水管网排入污水集中处理设施处理;不具备纳管条件的，应根据各地实际，结合农村改厕，采取有效措施，确保污水经收集处理后达标排放。利用池塘、沟渠等自然水体消纳生活污水的必须确保不形成黑臭水体。</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通过农村改厕，加强管控，确保污水被有效收纳处理。</w:t>
            </w:r>
          </w:p>
        </w:tc>
      </w:tr>
      <w:tr>
        <w:tblPrEx>
          <w:tblCellMar>
            <w:top w:w="0" w:type="dxa"/>
            <w:left w:w="108" w:type="dxa"/>
            <w:bottom w:w="0" w:type="dxa"/>
            <w:right w:w="108" w:type="dxa"/>
          </w:tblCellMar>
        </w:tblPrEx>
        <w:trPr>
          <w:trHeight w:val="9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951</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常宁市大堡乡梨子树村中间北侧集体农业农村排污口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FF-430482-0007-NY-08</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湖南省衡阳市常宁市大堡乡乔木村梨子组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112.209768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26.468944</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湖南省衡阳市常宁市大堡乡乔木村梨子组池塘泄洪排口</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农村生活污水未经处理直排沟渠，水质浑浊，对排入水体造成污染</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生活污水在有条件的情况下，就近纳入城镇污水管网排入污水集中处理设施处理;不具备纳管条件的，应根据各地实际，结合农村改厕，采取有效措施，确保污水经收集处理后达标排放。利用池塘、沟渠等自然水体消纳生活污水的必须确保不形成黑臭水体。</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通过农村改厕，加强管控，确保污水被有效收纳处理。</w:t>
            </w:r>
          </w:p>
        </w:tc>
      </w:tr>
      <w:tr>
        <w:tblPrEx>
          <w:tblCellMar>
            <w:top w:w="0" w:type="dxa"/>
            <w:left w:w="108" w:type="dxa"/>
            <w:bottom w:w="0" w:type="dxa"/>
            <w:right w:w="108" w:type="dxa"/>
          </w:tblCellMar>
        </w:tblPrEx>
        <w:trPr>
          <w:trHeight w:val="9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3</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958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常宁市水口山镇湘江花苑西偏北300米陈家洲湘江大桥下方城镇生活污水排污口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FF-430482-0014-SH-00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湖南省衡阳市常宁市水口山镇湘江花苑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112.554488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26.587583</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排污口后方约200人村庄生活污水和雨水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城镇生活污水未经处理直排湘江，水质浑浊，对排入水体造成污染</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设立标识标牌，建议采用末端截流法，在排污口上游埋管将污水截流至附件的市政污水管网或污水处理站，由于涉及管网施工改造，需长期整改。</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水口山镇政府</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1、已完成截污纳管；</w:t>
            </w:r>
          </w:p>
          <w:p>
            <w:pPr>
              <w:keepNext w:val="0"/>
              <w:keepLines w:val="0"/>
              <w:widowControl/>
              <w:suppressLineNumbers w:val="0"/>
              <w:spacing w:line="240" w:lineRule="exact"/>
              <w:jc w:val="left"/>
              <w:textAlignment w:val="center"/>
              <w:rPr>
                <w:rFonts w:hint="default" w:ascii="仿宋" w:hAnsi="仿宋" w:eastAsia="仿宋" w:cs="仿宋"/>
                <w:b/>
                <w:bCs/>
                <w:color w:val="auto"/>
                <w:kern w:val="0"/>
                <w:sz w:val="18"/>
                <w:szCs w:val="18"/>
                <w:lang w:val="en-US" w:bidi="ar"/>
              </w:rPr>
            </w:pPr>
            <w:r>
              <w:rPr>
                <w:rFonts w:hint="eastAsia" w:ascii="仿宋" w:hAnsi="仿宋" w:eastAsia="仿宋" w:cs="仿宋"/>
                <w:i w:val="0"/>
                <w:iCs w:val="0"/>
                <w:color w:val="auto"/>
                <w:kern w:val="0"/>
                <w:sz w:val="18"/>
                <w:szCs w:val="18"/>
                <w:u w:val="none"/>
                <w:lang w:val="en-US" w:eastAsia="zh-CN" w:bidi="ar"/>
              </w:rPr>
              <w:t>2、已对原排污口周边垃圾进行清理。</w:t>
            </w:r>
          </w:p>
        </w:tc>
      </w:tr>
      <w:tr>
        <w:tblPrEx>
          <w:tblCellMar>
            <w:top w:w="0" w:type="dxa"/>
            <w:left w:w="108" w:type="dxa"/>
            <w:bottom w:w="0" w:type="dxa"/>
            <w:right w:w="108" w:type="dxa"/>
          </w:tblCellMar>
        </w:tblPrEx>
        <w:trPr>
          <w:trHeight w:val="2148"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961</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常宁市水口山镇四号城镇生活污水排污口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FF-430482-0017-SH-00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湖南省衡阳市常宁市水口山镇</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112.5680124</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26.58880496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松阳村一组、二组片区居民楼，松阳完小</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此排口为城镇生活污水未经处理直排湘江，未设立标识标牌，水质浑浊，对排入水体造成污染</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color w:val="auto"/>
                <w:kern w:val="0"/>
                <w:sz w:val="18"/>
                <w:szCs w:val="18"/>
                <w:highlight w:val="none"/>
                <w:lang w:val="en-US" w:bidi="ar"/>
              </w:rPr>
            </w:pPr>
            <w:r>
              <w:rPr>
                <w:rFonts w:hint="eastAsia" w:ascii="仿宋" w:hAnsi="仿宋" w:eastAsia="仿宋" w:cs="仿宋"/>
                <w:i w:val="0"/>
                <w:iCs w:val="0"/>
                <w:color w:val="auto"/>
                <w:kern w:val="0"/>
                <w:sz w:val="18"/>
                <w:szCs w:val="18"/>
                <w:highlight w:val="none"/>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设立标识标牌。建议采用末端截流法和雨污分流方法，在排污口上游埋管将污水截流至附近的市政污水管网，需制订工程施工方案，尽快实施。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center"/>
              <w:textAlignment w:val="center"/>
              <w:rPr>
                <w:rFonts w:hint="default" w:ascii="仿宋" w:hAnsi="仿宋" w:eastAsia="仿宋" w:cs="仿宋"/>
                <w:color w:val="auto"/>
                <w:kern w:val="0"/>
                <w:sz w:val="18"/>
                <w:szCs w:val="18"/>
                <w:highlight w:val="none"/>
                <w:lang w:val="en-US" w:bidi="ar"/>
              </w:rPr>
            </w:pPr>
            <w:r>
              <w:rPr>
                <w:rFonts w:hint="eastAsia" w:ascii="仿宋" w:hAnsi="仿宋" w:eastAsia="仿宋" w:cs="仿宋"/>
                <w:i w:val="0"/>
                <w:iCs w:val="0"/>
                <w:color w:val="auto"/>
                <w:kern w:val="0"/>
                <w:sz w:val="18"/>
                <w:szCs w:val="18"/>
                <w:highlight w:val="none"/>
                <w:u w:val="none"/>
                <w:lang w:val="en-US" w:eastAsia="zh-CN" w:bidi="ar"/>
              </w:rPr>
              <w:t>已在上游截污纳管，接入886工程市政管网</w:t>
            </w:r>
          </w:p>
        </w:tc>
      </w:tr>
      <w:tr>
        <w:tblPrEx>
          <w:tblCellMar>
            <w:top w:w="0" w:type="dxa"/>
            <w:left w:w="108" w:type="dxa"/>
            <w:bottom w:w="0" w:type="dxa"/>
            <w:right w:w="108" w:type="dxa"/>
          </w:tblCellMar>
        </w:tblPrEx>
        <w:trPr>
          <w:trHeight w:val="2968"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i w:val="0"/>
                <w:iCs w:val="0"/>
                <w:color w:val="auto"/>
                <w:kern w:val="0"/>
                <w:sz w:val="18"/>
                <w:szCs w:val="18"/>
                <w:u w:val="none"/>
                <w:lang w:val="en-US" w:eastAsia="zh-CN" w:bidi="ar"/>
              </w:rPr>
              <w:t>5</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971</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常宁市水口山镇二号城镇生活污水排污口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FF-430482-0027-SH-00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湖南省衡阳市常宁市水口山镇滨江花园</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112.5722254</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26.59583926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现场水质呈微红浑浊无异味，水面上有少量浮油，排口周周有大量漂浮物，排口已截断封堵，但还有少量水流出，经检测水质超标</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设立标识标牌，建议采用末端截流法和雨污分流方法，在排污口上游埋管将污水截流至附近的市政污水管网，需制订工程施工方案，尽快实施。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已完成截污纳管；</w:t>
            </w:r>
          </w:p>
          <w:p>
            <w:pPr>
              <w:keepNext w:val="0"/>
              <w:keepLines w:val="0"/>
              <w:widowControl/>
              <w:numPr>
                <w:ilvl w:val="0"/>
                <w:numId w:val="1"/>
              </w:numPr>
              <w:suppressLineNumbers w:val="0"/>
              <w:spacing w:line="240" w:lineRule="exact"/>
              <w:jc w:val="left"/>
              <w:textAlignment w:val="center"/>
              <w:rPr>
                <w:rFonts w:hint="eastAsia" w:ascii="仿宋" w:hAnsi="仿宋" w:eastAsia="仿宋" w:cs="仿宋"/>
                <w:color w:val="auto"/>
                <w:kern w:val="0"/>
                <w:sz w:val="18"/>
                <w:szCs w:val="18"/>
                <w:lang w:val="en-US" w:bidi="ar"/>
              </w:rPr>
            </w:pPr>
            <w:r>
              <w:rPr>
                <w:rFonts w:hint="eastAsia" w:ascii="仿宋" w:hAnsi="仿宋" w:eastAsia="仿宋" w:cs="仿宋"/>
                <w:i w:val="0"/>
                <w:iCs w:val="0"/>
                <w:color w:val="auto"/>
                <w:kern w:val="0"/>
                <w:sz w:val="18"/>
                <w:szCs w:val="18"/>
                <w:u w:val="none"/>
                <w:lang w:val="en-US" w:eastAsia="zh-CN" w:bidi="ar"/>
              </w:rPr>
              <w:t>已清理原排污口周边垃圾；</w:t>
            </w:r>
          </w:p>
        </w:tc>
      </w:tr>
      <w:tr>
        <w:tblPrEx>
          <w:tblCellMar>
            <w:top w:w="0" w:type="dxa"/>
            <w:left w:w="108" w:type="dxa"/>
            <w:bottom w:w="0" w:type="dxa"/>
            <w:right w:w="108" w:type="dxa"/>
          </w:tblCellMar>
        </w:tblPrEx>
        <w:trPr>
          <w:trHeight w:val="2079"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i w:val="0"/>
                <w:iCs w:val="0"/>
                <w:color w:val="auto"/>
                <w:kern w:val="0"/>
                <w:sz w:val="18"/>
                <w:szCs w:val="18"/>
                <w:u w:val="none"/>
                <w:lang w:val="en-US" w:eastAsia="zh-CN" w:bidi="ar"/>
              </w:rPr>
              <w:t>6</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978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常宁市水口山镇水口山镇二号城镇生活污水排污口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FF-430482-0034-SH-00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湖南省衡阳市常宁市水口山镇滨江花园</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112.5722254</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26.59583926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现场水质呈微红浑浊无异味，水面上有少量浮油，排口周周有大量漂浮物，排口已截断封堵，但还有少量水流出，经检测水质超标</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建议采用末端截流法，在排污口上游埋管将污水截流至附件的市政污水管网，需制订工程施工方案，尽快实施。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1、已完成截污纳管；</w:t>
            </w:r>
          </w:p>
          <w:p>
            <w:pPr>
              <w:keepNext w:val="0"/>
              <w:keepLines w:val="0"/>
              <w:widowControl/>
              <w:suppressLineNumbers w:val="0"/>
              <w:spacing w:line="240" w:lineRule="exact"/>
              <w:jc w:val="left"/>
              <w:textAlignment w:val="center"/>
              <w:rPr>
                <w:rFonts w:hint="eastAsia" w:ascii="仿宋" w:hAnsi="仿宋" w:eastAsia="仿宋" w:cs="仿宋"/>
                <w:color w:val="auto"/>
                <w:kern w:val="0"/>
                <w:sz w:val="18"/>
                <w:szCs w:val="18"/>
                <w:lang w:val="en-US" w:bidi="ar"/>
              </w:rPr>
            </w:pPr>
            <w:r>
              <w:rPr>
                <w:rFonts w:hint="eastAsia" w:ascii="仿宋" w:hAnsi="仿宋" w:eastAsia="仿宋" w:cs="仿宋"/>
                <w:i w:val="0"/>
                <w:iCs w:val="0"/>
                <w:color w:val="auto"/>
                <w:kern w:val="0"/>
                <w:sz w:val="18"/>
                <w:szCs w:val="18"/>
                <w:u w:val="none"/>
                <w:lang w:val="en-US" w:eastAsia="zh-CN" w:bidi="ar"/>
              </w:rPr>
              <w:t>2、已清理原排污口周边垃圾；</w:t>
            </w:r>
          </w:p>
        </w:tc>
      </w:tr>
      <w:tr>
        <w:tblPrEx>
          <w:tblCellMar>
            <w:top w:w="0" w:type="dxa"/>
            <w:left w:w="108" w:type="dxa"/>
            <w:bottom w:w="0" w:type="dxa"/>
            <w:right w:w="108" w:type="dxa"/>
          </w:tblCellMar>
        </w:tblPrEx>
        <w:trPr>
          <w:trHeight w:val="3023"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982</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常宁市大堡乡桥东北侧10米22城镇生活污水排污口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FF-430482-0038-SH-00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湖南省衡阳市常宁市大堡乡大堡村大堡街道082县道</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112.1911152</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26.47528525</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大堡乡生活污水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排口暂无水流出，附近有大量垃圾堆积</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生活污水排污口应采用集中处置和分散处理相结合的治理方式。对于在城镇污水处理厂服务范围以内且纳管条件适宜的城镇散排口区域或流域，实施配套污水管网建设及改造，实现散排污水口有效截污纳管;对于截污纳管条件困难的城镇污水散排区域或流域，实施一体化污水处理设施，实行分散处理。通过集中处置与分散处理相结合的各类措施，实现对未截污纳管城镇生活污水散排口的有效整治。</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1、通过农村改厕，加强管控，确保污水被有效收纳处理；</w:t>
            </w:r>
          </w:p>
          <w:p>
            <w:pPr>
              <w:keepNext w:val="0"/>
              <w:keepLines w:val="0"/>
              <w:widowControl/>
              <w:numPr>
                <w:ilvl w:val="0"/>
                <w:numId w:val="0"/>
              </w:numPr>
              <w:suppressLineNumbers w:val="0"/>
              <w:spacing w:line="240" w:lineRule="exact"/>
              <w:ind w:leftChars="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2、已对排污口周边垃圾进行清理。</w:t>
            </w:r>
          </w:p>
        </w:tc>
      </w:tr>
      <w:tr>
        <w:tblPrEx>
          <w:tblCellMar>
            <w:top w:w="0" w:type="dxa"/>
            <w:left w:w="108" w:type="dxa"/>
            <w:bottom w:w="0" w:type="dxa"/>
            <w:right w:w="108" w:type="dxa"/>
          </w:tblCellMar>
        </w:tblPrEx>
        <w:trPr>
          <w:trHeight w:val="1991"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987</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常宁市水口山镇村东一百米水产养殖排污口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FF-430482-0043-NY-00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湖南省衡阳市常宁市水口山镇范家洲</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112.514724</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26.57183519</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水产养殖排污口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衡阳市常宁市水口山镇东白村村东一百米入鱼塘排口</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实际为地表冲沟，已对周边清理垃圾</w:t>
            </w:r>
          </w:p>
        </w:tc>
      </w:tr>
      <w:tr>
        <w:tblPrEx>
          <w:tblCellMar>
            <w:top w:w="0" w:type="dxa"/>
            <w:left w:w="108" w:type="dxa"/>
            <w:bottom w:w="0" w:type="dxa"/>
            <w:right w:w="108" w:type="dxa"/>
          </w:tblCellMar>
        </w:tblPrEx>
        <w:trPr>
          <w:trHeight w:val="2357"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989</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常宁市新河镇排灌站东北20米泄洪沟渠、河港（涌）、排干等排污口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FF-430482-0045-GQ-00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湖南省衡阳市常宁市新河镇083县道</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112.3171735</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26.5056232</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排灌站生活污水、道路雨水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水利局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1、已树立标识牌；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2、加强监督管理，制定巡查计划，定期巡查；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3、已对周边垃圾进行清理。</w:t>
            </w:r>
          </w:p>
        </w:tc>
      </w:tr>
      <w:tr>
        <w:tblPrEx>
          <w:tblCellMar>
            <w:top w:w="0" w:type="dxa"/>
            <w:left w:w="108" w:type="dxa"/>
            <w:bottom w:w="0" w:type="dxa"/>
            <w:right w:w="108" w:type="dxa"/>
          </w:tblCellMar>
        </w:tblPrEx>
        <w:trPr>
          <w:trHeight w:val="2085"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lang w:val="en-US"/>
              </w:rPr>
            </w:pPr>
            <w:r>
              <w:rPr>
                <w:rFonts w:hint="eastAsia" w:ascii="仿宋" w:hAnsi="仿宋" w:eastAsia="仿宋" w:cs="仿宋"/>
                <w:i w:val="0"/>
                <w:iCs w:val="0"/>
                <w:color w:val="auto"/>
                <w:kern w:val="0"/>
                <w:sz w:val="18"/>
                <w:szCs w:val="18"/>
                <w:u w:val="none"/>
                <w:lang w:val="en-US" w:eastAsia="zh-CN" w:bidi="ar"/>
              </w:rPr>
              <w:t>10</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993</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常宁市水口山镇湘江花苑西偏北300米陈家洲湘江大桥下方城镇生活污水排污口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FF-430482-0049-SH-00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湖南省衡阳市常宁市水口山镇湘江花苑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112.554488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26.587583</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陈家洲湘江花苑居民生活污水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城镇生活污水未经处理直排湘江，水质浑浊，对排入水体造成污染</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建议采用末端截流法，在排污口上游埋管将污水截流至附件的市政污水管网或污水处理站，由于涉及管网施工改造，需长期整改。</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已完成截污纳管，将污水接入市政管网886工程。</w:t>
            </w:r>
          </w:p>
        </w:tc>
      </w:tr>
      <w:tr>
        <w:tblPrEx>
          <w:tblCellMar>
            <w:top w:w="0" w:type="dxa"/>
            <w:left w:w="108" w:type="dxa"/>
            <w:bottom w:w="0" w:type="dxa"/>
            <w:right w:w="108" w:type="dxa"/>
          </w:tblCellMar>
        </w:tblPrEx>
        <w:trPr>
          <w:trHeight w:val="9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11</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1009</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常宁市水口山镇联合村城镇生活污水排污口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FF-430482-0065-SH-00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湖南省衡阳市常宁市水口山镇联合村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112.5911328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26.59274799</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衡阳市常宁市水口山镇联合村居民生活污水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经调查发现附近有村民生活污水排向此排口</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建议采用末端截流法和雨污分流方法，在排污口上游埋管将污水截流至附近的市政污水管网，需制订工程施工方案，尽快实施。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i w:val="0"/>
                <w:iCs w:val="0"/>
                <w:color w:val="auto"/>
                <w:kern w:val="0"/>
                <w:sz w:val="18"/>
                <w:szCs w:val="18"/>
                <w:highlight w:val="none"/>
                <w:u w:val="none"/>
                <w:lang w:val="en-US" w:eastAsia="zh-CN" w:bidi="ar"/>
              </w:rPr>
              <w:t>该排污口已无生活污水外排，已封堵该排污口</w:t>
            </w:r>
          </w:p>
        </w:tc>
      </w:tr>
      <w:tr>
        <w:tblPrEx>
          <w:tblCellMar>
            <w:top w:w="0" w:type="dxa"/>
            <w:left w:w="108" w:type="dxa"/>
            <w:bottom w:w="0" w:type="dxa"/>
            <w:right w:w="108" w:type="dxa"/>
          </w:tblCellMar>
        </w:tblPrEx>
        <w:trPr>
          <w:trHeight w:val="2595"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1025</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常宁市水口山镇新同村凌家入康家溪沟渠、河港（涌）、排干等排污口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FF-430482-0081-GQ-00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湖南省衡阳市常宁市水口山镇凌家</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112.6056822</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26.58304909</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湖南省衡阳市常宁市水口山镇新同村凌家组西侧300米路边雨水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水利局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2、加强监督管理，制定巡查计划，定期巡查。</w:t>
            </w:r>
          </w:p>
        </w:tc>
      </w:tr>
      <w:tr>
        <w:tblPrEx>
          <w:tblCellMar>
            <w:top w:w="0" w:type="dxa"/>
            <w:left w:w="108" w:type="dxa"/>
            <w:bottom w:w="0" w:type="dxa"/>
            <w:right w:w="108" w:type="dxa"/>
          </w:tblCellMar>
        </w:tblPrEx>
        <w:trPr>
          <w:trHeight w:val="2274"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13</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1040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常宁市水口山镇第八冶炼厂东门西北30度300米河道左侧城镇雨洪排污口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FF-430482-0096-YH-00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湖南省衡阳市常宁市水口山镇Z041</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112.5983409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26.59094696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常宁市水口山第八冶炼厂东门西北30度300米道路雨水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该排口已无排水功能，已完成封堵。</w:t>
            </w:r>
          </w:p>
        </w:tc>
      </w:tr>
      <w:tr>
        <w:tblPrEx>
          <w:tblCellMar>
            <w:top w:w="0" w:type="dxa"/>
            <w:left w:w="108" w:type="dxa"/>
            <w:bottom w:w="0" w:type="dxa"/>
            <w:right w:w="108" w:type="dxa"/>
          </w:tblCellMar>
        </w:tblPrEx>
        <w:trPr>
          <w:trHeight w:val="226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sz w:val="18"/>
                <w:szCs w:val="18"/>
                <w:lang w:val="en-US"/>
              </w:rPr>
            </w:pPr>
            <w:r>
              <w:rPr>
                <w:rFonts w:hint="eastAsia" w:ascii="仿宋" w:hAnsi="仿宋" w:eastAsia="仿宋" w:cs="仿宋"/>
                <w:i w:val="0"/>
                <w:iCs w:val="0"/>
                <w:color w:val="auto"/>
                <w:kern w:val="0"/>
                <w:sz w:val="18"/>
                <w:szCs w:val="18"/>
                <w:u w:val="none"/>
                <w:lang w:val="en-US" w:eastAsia="zh-CN" w:bidi="ar"/>
              </w:rPr>
              <w:t>14</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1044</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常宁市水口山镇生活3号入河排污口下游150米处排水沟城镇生活污水排污口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FF-430482-0100-SH-00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湖南省衡阳市常宁市水口山镇渡口路</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112.5708193</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26.59525264</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常宁市水口山镇生活3号入河排污口下游150米居民生活污水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上游水质黑色，可能排入湘江</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设立标识标牌，建议采用末端截流法，在排污口上游埋管将污水截流至附件的市政污水管网，需制订工程施工方案，尽快实施。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1、已完成截污纳管；</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color w:val="auto"/>
                <w:kern w:val="0"/>
                <w:sz w:val="18"/>
                <w:szCs w:val="18"/>
                <w:lang w:bidi="ar"/>
              </w:rPr>
            </w:pPr>
            <w:r>
              <w:rPr>
                <w:rFonts w:hint="eastAsia" w:ascii="仿宋" w:hAnsi="仿宋" w:eastAsia="仿宋" w:cs="仿宋"/>
                <w:i w:val="0"/>
                <w:iCs w:val="0"/>
                <w:color w:val="auto"/>
                <w:kern w:val="0"/>
                <w:sz w:val="18"/>
                <w:szCs w:val="18"/>
                <w:u w:val="none"/>
                <w:lang w:val="en-US" w:eastAsia="zh-CN" w:bidi="ar"/>
              </w:rPr>
              <w:t>2、已对排污口周边垃圾进行清理。</w:t>
            </w:r>
          </w:p>
        </w:tc>
      </w:tr>
      <w:tr>
        <w:tblPrEx>
          <w:tblCellMar>
            <w:top w:w="0" w:type="dxa"/>
            <w:left w:w="108" w:type="dxa"/>
            <w:bottom w:w="0" w:type="dxa"/>
            <w:right w:w="108" w:type="dxa"/>
          </w:tblCellMar>
        </w:tblPrEx>
        <w:trPr>
          <w:trHeight w:val="1817"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15</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1048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常宁市新河镇正冲西偏北295米农村生活污水排污口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FF-430482-0104-NY-00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湖南省衡阳市常宁市新河镇正冲西偏北295米</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112.3164551</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26.52311737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湖南省衡阳市常宁市新河镇正冲西居民生活污水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ind w:leftChars="0"/>
              <w:jc w:val="left"/>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该排口实际为非排口，加强监督管理。</w:t>
            </w:r>
          </w:p>
        </w:tc>
      </w:tr>
      <w:tr>
        <w:tblPrEx>
          <w:tblCellMar>
            <w:top w:w="0" w:type="dxa"/>
            <w:left w:w="108" w:type="dxa"/>
            <w:bottom w:w="0" w:type="dxa"/>
            <w:right w:w="108" w:type="dxa"/>
          </w:tblCellMar>
        </w:tblPrEx>
        <w:trPr>
          <w:trHeight w:val="136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16</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1050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常宁市水口山镇欧家洲合体居民房下方常宁市第三中学北偏西280米城镇生活污水排污口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FF-430482-0106-SH-00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湖南省衡阳市常宁市水口山镇欧家洲茶楼</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112.5764108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26.59663785</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湖南省衡阳市常宁市水口山镇文明居委会欧家洲居民生活污水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主要来源上方居民的下水管道的生活污水，此处管道比较多</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设立标识标牌，建议采用末端截流法和雨污分流方法，在排污口上游埋管将污水截流至附近的市政污水管网，需制订工程施工方案，尽快实施。</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已完成截污纳管，生活污水接入886工程</w:t>
            </w:r>
          </w:p>
        </w:tc>
      </w:tr>
      <w:tr>
        <w:tblPrEx>
          <w:tblCellMar>
            <w:top w:w="0" w:type="dxa"/>
            <w:left w:w="108" w:type="dxa"/>
            <w:bottom w:w="0" w:type="dxa"/>
            <w:right w:w="108" w:type="dxa"/>
          </w:tblCellMar>
        </w:tblPrEx>
        <w:trPr>
          <w:trHeight w:val="179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17</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1052</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常宁市新河镇郝家湾北偏西610水产养殖排污口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FF-430482-0108-NY-00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112.3071103</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26.55364887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水产养殖排污口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郝家湾北偏西水塘养殖污水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3"/>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2、加强监督管理，制定巡查计划，定期巡查。</w:t>
            </w:r>
          </w:p>
        </w:tc>
      </w:tr>
      <w:tr>
        <w:tblPrEx>
          <w:tblCellMar>
            <w:top w:w="0" w:type="dxa"/>
            <w:left w:w="108" w:type="dxa"/>
            <w:bottom w:w="0" w:type="dxa"/>
            <w:right w:w="108" w:type="dxa"/>
          </w:tblCellMar>
        </w:tblPrEx>
        <w:trPr>
          <w:trHeight w:val="1627"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18</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1067</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常宁市水口山镇一号生污污水入江城镇生活污水排污口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FF-430482-0123-SH-00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湖南省衡阳市常宁市水口山镇王家园村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112.585833</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26.5969444</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湖南省衡阳市常宁市水口山镇王家园村居民污水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该排污口已封堵，排污口源头已无污水排出</w:t>
            </w:r>
          </w:p>
        </w:tc>
      </w:tr>
      <w:tr>
        <w:tblPrEx>
          <w:tblCellMar>
            <w:top w:w="0" w:type="dxa"/>
            <w:left w:w="108" w:type="dxa"/>
            <w:bottom w:w="0" w:type="dxa"/>
            <w:right w:w="108" w:type="dxa"/>
          </w:tblCellMar>
        </w:tblPrEx>
        <w:trPr>
          <w:trHeight w:val="1262"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19</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1068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常宁市新河镇河洲大桥下东南1公里城镇雨洪排污</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FF-430482-0124-YH-00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112.3111569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26.49557177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湖南省常宁市新河镇雨洪水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住建局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4"/>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4"/>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加强监督管理，制定巡查计划，定期巡查，定期巡查</w:t>
            </w:r>
          </w:p>
        </w:tc>
      </w:tr>
      <w:tr>
        <w:tblPrEx>
          <w:tblCellMar>
            <w:top w:w="0" w:type="dxa"/>
            <w:left w:w="108" w:type="dxa"/>
            <w:bottom w:w="0" w:type="dxa"/>
            <w:right w:w="108" w:type="dxa"/>
          </w:tblCellMar>
        </w:tblPrEx>
        <w:trPr>
          <w:trHeight w:val="46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1076</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常宁市大堡乡镇大堡河大堡码头入江沟渠、河港（涌）、排干等排污口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FF-430482-0132-GQ-00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湖南省衡阳市常宁市大堡乡082县道</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112.1917011</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26.47556555</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大堡河雨洪、居民生活污水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点位为沟渠、河港（涌）、排干等排口，沿途有污水混入，排口无标识标牌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需规范性建设，纳入河长制管理范围的沟渠、河港(涌)排口，应充分结合河长制管理要求，通过推进对应汇流范围的流域综合治理规划、良好水体保护规划、河流生态修复规划实施，完成对排口对应流城整治工作，实现水域功能水质稳定达标。未纳入河长制管理范围的，在将河长制进一步延伸的同时，有针对性地制定小流域整治阶段性实施方案，完成对沟渠、河港(涌)排口整治,实现水体水质的持续改善。</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水利局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1、通过农村改厕，加强管控，确保污水被有效收纳处理；</w:t>
            </w:r>
          </w:p>
          <w:p>
            <w:pPr>
              <w:keepNext w:val="0"/>
              <w:keepLines w:val="0"/>
              <w:widowControl/>
              <w:numPr>
                <w:ilvl w:val="0"/>
                <w:numId w:val="0"/>
              </w:numPr>
              <w:suppressLineNumbers w:val="0"/>
              <w:spacing w:line="240" w:lineRule="exact"/>
              <w:ind w:leftChars="0"/>
              <w:jc w:val="both"/>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2、已对排污口周边垃圾进行清理；</w:t>
            </w:r>
          </w:p>
          <w:p>
            <w:pPr>
              <w:pStyle w:val="2"/>
              <w:spacing w:line="240" w:lineRule="exact"/>
              <w:rPr>
                <w:rFonts w:hint="default"/>
                <w:color w:val="auto"/>
                <w:lang w:val="en-US" w:eastAsia="zh-CN"/>
              </w:rPr>
            </w:pPr>
            <w:r>
              <w:rPr>
                <w:rFonts w:hint="eastAsia" w:ascii="仿宋" w:hAnsi="仿宋" w:eastAsia="仿宋" w:cs="仿宋"/>
                <w:i w:val="0"/>
                <w:iCs w:val="0"/>
                <w:color w:val="auto"/>
                <w:kern w:val="0"/>
                <w:sz w:val="18"/>
                <w:szCs w:val="18"/>
                <w:u w:val="none"/>
                <w:lang w:val="en-US" w:eastAsia="zh-CN" w:bidi="ar"/>
              </w:rPr>
              <w:t>3、已树立标识标牌</w:t>
            </w:r>
          </w:p>
          <w:p>
            <w:pPr>
              <w:keepNext w:val="0"/>
              <w:keepLines w:val="0"/>
              <w:widowControl/>
              <w:numPr>
                <w:ilvl w:val="0"/>
                <w:numId w:val="0"/>
              </w:numPr>
              <w:suppressLineNumbers w:val="0"/>
              <w:spacing w:line="240" w:lineRule="exact"/>
              <w:ind w:leftChars="0"/>
              <w:jc w:val="both"/>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4、加强监督管理，制定巡查计划，定期巡查。</w:t>
            </w:r>
          </w:p>
        </w:tc>
      </w:tr>
      <w:tr>
        <w:tblPrEx>
          <w:tblCellMar>
            <w:top w:w="0" w:type="dxa"/>
            <w:left w:w="108" w:type="dxa"/>
            <w:bottom w:w="0" w:type="dxa"/>
            <w:right w:w="108" w:type="dxa"/>
          </w:tblCellMar>
        </w:tblPrEx>
        <w:trPr>
          <w:trHeight w:val="204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1077</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常宁市水口山镇冶金路路边城镇雨洪排污口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FF-430482-0133-YH-00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湖南省衡阳市常宁市水口山小洲村上李组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112.6075739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26.59193194</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常宁市水口山小洲村上李组冶金路路边雨水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该排口实际为供水管网，非排口</w:t>
            </w:r>
          </w:p>
        </w:tc>
      </w:tr>
      <w:tr>
        <w:tblPrEx>
          <w:tblCellMar>
            <w:top w:w="0" w:type="dxa"/>
            <w:left w:w="108" w:type="dxa"/>
            <w:bottom w:w="0" w:type="dxa"/>
            <w:right w:w="108" w:type="dxa"/>
          </w:tblCellMar>
        </w:tblPrEx>
        <w:trPr>
          <w:trHeight w:val="203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常宁市柏坊镇大新村章家山北100米入湘江农村生活污水排污口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FF-430482-0134-NY-00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湖南省衡阳市常宁市柏坊镇章家山</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112.4515858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26.55291917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湖南省衡阳市常宁市柏坊镇章家山居民生活污水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该排口实际为道路雨水排口，属于非排口，加强监督管理。</w:t>
            </w:r>
          </w:p>
        </w:tc>
      </w:tr>
      <w:tr>
        <w:tblPrEx>
          <w:tblCellMar>
            <w:top w:w="0" w:type="dxa"/>
            <w:left w:w="108" w:type="dxa"/>
            <w:bottom w:w="0" w:type="dxa"/>
            <w:right w:w="108" w:type="dxa"/>
          </w:tblCellMar>
        </w:tblPrEx>
        <w:trPr>
          <w:trHeight w:val="1677"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23</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1079</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常宁市新河镇郝家湾北偏西470米种植业排污口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FF-430482-0135-NY-00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常宁市新河镇郝家湾</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112.3068279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26.55220352</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种植业排口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湖南省衡阳市常宁市新河镇港子口水渠</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5"/>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5"/>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加强监督管理，制定巡查计划，定期巡查。</w:t>
            </w:r>
          </w:p>
        </w:tc>
      </w:tr>
      <w:tr>
        <w:tblPrEx>
          <w:tblCellMar>
            <w:top w:w="0" w:type="dxa"/>
            <w:left w:w="108" w:type="dxa"/>
            <w:bottom w:w="0" w:type="dxa"/>
            <w:right w:w="108" w:type="dxa"/>
          </w:tblCellMar>
        </w:tblPrEx>
        <w:trPr>
          <w:trHeight w:val="251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24</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常宁市大堡乡镇四湾北侧255米农田下方沟渠、河港（涌）、排干等排污口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FF-430482-0136-GQ-00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湖南省衡阳市常宁市大堡乡</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112.221606</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26.471033</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沟渠、河港（涌）、排干等</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农村水田灌溉水及退水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水利局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1、已树立标识牌；</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2、加强监督管理，制定巡查计划，定期巡查，定期巡查。</w:t>
            </w:r>
          </w:p>
        </w:tc>
      </w:tr>
      <w:tr>
        <w:tblPrEx>
          <w:tblCellMar>
            <w:top w:w="0" w:type="dxa"/>
            <w:left w:w="108" w:type="dxa"/>
            <w:bottom w:w="0" w:type="dxa"/>
            <w:right w:w="108" w:type="dxa"/>
          </w:tblCellMar>
        </w:tblPrEx>
        <w:trPr>
          <w:trHeight w:val="273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25</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1081</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常宁市水口山镇第八冶炼厂正东200米过路桥东南角下城镇生活污水排污口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FF-430482-0137-SH-00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湖南省衡阳市常宁市水口山镇小洲村铁路组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112.6012657</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26.59091366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湖南省常宁市水口山镇小洲村铁路组居民生活污水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该地为拆迁区，排污口源头已拆除，排污口无水排放，该排污口已封堵。</w:t>
            </w:r>
          </w:p>
        </w:tc>
      </w:tr>
      <w:tr>
        <w:tblPrEx>
          <w:tblCellMar>
            <w:top w:w="0" w:type="dxa"/>
            <w:left w:w="108" w:type="dxa"/>
            <w:bottom w:w="0" w:type="dxa"/>
            <w:right w:w="108" w:type="dxa"/>
          </w:tblCellMar>
        </w:tblPrEx>
        <w:trPr>
          <w:trHeight w:val="50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1082</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常宁市水口山镇三友码头西侧100米水口山有色金属有限责任公司第四冶炼厂委员会东北460米城镇生活污水排污口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FF-430482-0138-SH-00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湖南省衡阳市常宁市水口山镇松柏老街</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112.5896332</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26.5972947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湖南省衡阳市常宁市水口山镇松柏老街城镇生活污水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该排污口位于拆迁区，原排污口已丧失排污功能，已封堵</w:t>
            </w:r>
          </w:p>
        </w:tc>
      </w:tr>
      <w:tr>
        <w:tblPrEx>
          <w:tblCellMar>
            <w:top w:w="0" w:type="dxa"/>
            <w:left w:w="108" w:type="dxa"/>
            <w:bottom w:w="0" w:type="dxa"/>
            <w:right w:w="108" w:type="dxa"/>
          </w:tblCellMar>
        </w:tblPrEx>
        <w:trPr>
          <w:trHeight w:val="2191"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27</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1084</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常宁市水口山镇生活3号入河排污口下游170米城镇生活污水排污口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FF-430482-0140-SH-00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112.5709039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26.59538466</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湖南省常宁市水口山镇新星小区生活污水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6"/>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已完成截污纳管；</w:t>
            </w:r>
          </w:p>
          <w:p>
            <w:pPr>
              <w:keepNext w:val="0"/>
              <w:keepLines w:val="0"/>
              <w:widowControl/>
              <w:numPr>
                <w:ilvl w:val="0"/>
                <w:numId w:val="6"/>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已对排污口周边垃圾进行清理。</w:t>
            </w:r>
          </w:p>
        </w:tc>
      </w:tr>
      <w:tr>
        <w:tblPrEx>
          <w:tblCellMar>
            <w:top w:w="0" w:type="dxa"/>
            <w:left w:w="108" w:type="dxa"/>
            <w:bottom w:w="0" w:type="dxa"/>
            <w:right w:w="108" w:type="dxa"/>
          </w:tblCellMar>
        </w:tblPrEx>
        <w:trPr>
          <w:trHeight w:val="1182"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28</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1086</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常宁市水口山镇松柏大桥上游南岸350米城镇雨洪排污口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FF-430482-0142-YH-00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湖南省衡阳市常宁市水口山镇松阳小区</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112.5656359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26.59305933</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湖南省常宁市水口山镇松阳小区道路雨水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7"/>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7"/>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加强监督管理，制定巡查计划，定期巡查。</w:t>
            </w:r>
          </w:p>
        </w:tc>
      </w:tr>
      <w:tr>
        <w:tblPrEx>
          <w:tblCellMar>
            <w:top w:w="0" w:type="dxa"/>
            <w:left w:w="108" w:type="dxa"/>
            <w:bottom w:w="0" w:type="dxa"/>
            <w:right w:w="108" w:type="dxa"/>
          </w:tblCellMar>
        </w:tblPrEx>
        <w:trPr>
          <w:trHeight w:val="90"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29</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常宁市水口山镇青年村陈家老屋祠堂（德星堂）正西30米工业厂区雨水排污口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FF-430482-0146-GY-00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湖南省衡阳市常宁市水口山镇青年村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112.5939473</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26.5933297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工业排污口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厂区雨水排口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湖南省常宁市铅都机电有限公司雨水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该排口已封堵，污水源头已拆除</w:t>
            </w:r>
          </w:p>
        </w:tc>
      </w:tr>
      <w:tr>
        <w:tblPrEx>
          <w:tblCellMar>
            <w:top w:w="0" w:type="dxa"/>
            <w:left w:w="108" w:type="dxa"/>
            <w:bottom w:w="0" w:type="dxa"/>
            <w:right w:w="108" w:type="dxa"/>
          </w:tblCellMar>
        </w:tblPrEx>
        <w:trPr>
          <w:trHeight w:val="2338"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30</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1091</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常宁市水口山镇青年村第六冶炼厂东南方向45度荷花塘中部东侧丁字口北20米城镇雨洪等排污口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FF-430482-0147-YH-00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湖南省衡阳市常宁市水口山镇青年村第六治炼厂东南方向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112.5932836</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26.59368715</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湖南省常宁市水口山镇沿江社区陈家洲组路边雨水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该排口已封堵，污水源头已拆除</w:t>
            </w:r>
          </w:p>
        </w:tc>
      </w:tr>
      <w:tr>
        <w:tblPrEx>
          <w:tblCellMar>
            <w:top w:w="0" w:type="dxa"/>
            <w:left w:w="108" w:type="dxa"/>
            <w:bottom w:w="0" w:type="dxa"/>
            <w:right w:w="108" w:type="dxa"/>
          </w:tblCellMar>
        </w:tblPrEx>
        <w:trPr>
          <w:trHeight w:val="1613"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31</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1092</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常宁市水口山镇永红混凝土有限公司西侧排水沟内城镇雨洪排污口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FF-430482-0148-YH-00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湖南省衡阳市常宁市水口山镇沿江社区陈家洲组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112.5862426</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26.59635971</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城镇雨洪排口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湖南省常宁市水口山镇沿江社区陈家洲组路边雨水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jc w:val="left"/>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该排口已无排水功能已封堵</w:t>
            </w:r>
          </w:p>
        </w:tc>
      </w:tr>
      <w:tr>
        <w:tblPrEx>
          <w:tblCellMar>
            <w:top w:w="0" w:type="dxa"/>
            <w:left w:w="108" w:type="dxa"/>
            <w:bottom w:w="0" w:type="dxa"/>
            <w:right w:w="108" w:type="dxa"/>
          </w:tblCellMar>
        </w:tblPrEx>
        <w:trPr>
          <w:trHeight w:val="659"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32</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1083</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常宁市新河镇港子口西南250米农田临江种植业排污口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FF-430482-0139-NY-00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常宁市新河镇港子口</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112.3077698</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26.5582647</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种植业排口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湖南省衡阳市常宁市新河镇港子口水田灌溉水及退水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8"/>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8"/>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加强监督管理，制定巡查计划，定期巡查</w:t>
            </w:r>
          </w:p>
        </w:tc>
      </w:tr>
      <w:tr>
        <w:tblPrEx>
          <w:tblCellMar>
            <w:top w:w="0" w:type="dxa"/>
            <w:left w:w="108" w:type="dxa"/>
            <w:bottom w:w="0" w:type="dxa"/>
            <w:right w:w="108" w:type="dxa"/>
          </w:tblCellMar>
        </w:tblPrEx>
        <w:trPr>
          <w:trHeight w:val="208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33</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1088</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常宁市水口山镇渔业村大渔中学北侧140米码头南侧城镇生活污水排污口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FF-430482-0144-SH-00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湖南省衡阳市常宁市水口山镇大渔村</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112.5392471</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26.57471969</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湖南省常宁市水口山镇大渔村大渔中学居民生活污水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exact"/>
              <w:ind w:firstLine="180" w:firstLineChars="10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该排口实际为农村生活污水排口；</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1、已树立标识牌；</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2、加强监督管理，制定巡查计划，定期巡查，定期巡查。</w:t>
            </w:r>
          </w:p>
        </w:tc>
      </w:tr>
      <w:tr>
        <w:tblPrEx>
          <w:tblCellMar>
            <w:top w:w="0" w:type="dxa"/>
            <w:left w:w="108" w:type="dxa"/>
            <w:bottom w:w="0" w:type="dxa"/>
            <w:right w:w="108" w:type="dxa"/>
          </w:tblCellMar>
        </w:tblPrEx>
        <w:trPr>
          <w:trHeight w:val="1966"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34</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1095</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常宁市柏坊镇磷肥厂入湘江生产废水排污口排污口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FF-430482-0151-GY-00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湖南省衡阳市常宁市柏坊镇柏坊村桥边组</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112.482631</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26.55588174</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工业排污口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生产废水排污口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湖南省常宁市柏坊镇柏坊村桥边组磷肥厂生产废水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生态环境分局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9"/>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9"/>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加强监督管理，制定巡查计划，定期巡查，定期巡查。</w:t>
            </w:r>
          </w:p>
        </w:tc>
      </w:tr>
      <w:tr>
        <w:tblPrEx>
          <w:tblCellMar>
            <w:top w:w="0" w:type="dxa"/>
            <w:left w:w="108" w:type="dxa"/>
            <w:bottom w:w="0" w:type="dxa"/>
            <w:right w:w="108" w:type="dxa"/>
          </w:tblCellMar>
        </w:tblPrEx>
        <w:trPr>
          <w:trHeight w:val="2315"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35</w:t>
            </w:r>
          </w:p>
        </w:tc>
        <w:tc>
          <w:tcPr>
            <w:tcW w:w="1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1097</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常宁市新河镇吕坪村廖家门往西北5度100米江边种植业排污口</w:t>
            </w:r>
          </w:p>
        </w:tc>
        <w:tc>
          <w:tcPr>
            <w:tcW w:w="2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FF-430482-0153-NY-00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常宁市新河镇吕坪村廖家门往西北5度100米江边</w:t>
            </w:r>
          </w:p>
        </w:tc>
        <w:tc>
          <w:tcPr>
            <w:tcW w:w="16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112.3277879</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26.56830961</w:t>
            </w:r>
          </w:p>
        </w:tc>
        <w:tc>
          <w:tcPr>
            <w:tcW w:w="22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农业农村排污口</w:t>
            </w:r>
          </w:p>
        </w:tc>
        <w:tc>
          <w:tcPr>
            <w:tcW w:w="22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种植业排口</w:t>
            </w:r>
          </w:p>
        </w:tc>
        <w:tc>
          <w:tcPr>
            <w:tcW w:w="2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2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湖南省衡阳市常宁市新河镇吕坪村廖家门水田灌溉水及退水</w:t>
            </w:r>
          </w:p>
        </w:tc>
        <w:tc>
          <w:tcPr>
            <w:tcW w:w="39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未设立标识标牌</w:t>
            </w:r>
          </w:p>
        </w:tc>
        <w:tc>
          <w:tcPr>
            <w:tcW w:w="16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w:t>
            </w:r>
          </w:p>
        </w:tc>
        <w:tc>
          <w:tcPr>
            <w:tcW w:w="1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2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农业农村局</w:t>
            </w:r>
          </w:p>
        </w:tc>
        <w:tc>
          <w:tcPr>
            <w:tcW w:w="24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已树立标识牌；</w:t>
            </w:r>
          </w:p>
          <w:p>
            <w:pPr>
              <w:keepNext w:val="0"/>
              <w:keepLines w:val="0"/>
              <w:widowControl/>
              <w:numPr>
                <w:ilvl w:val="0"/>
                <w:numId w:val="0"/>
              </w:numPr>
              <w:suppressLineNumbers w:val="0"/>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2、加强监督管理，制定巡查计划，定期巡查，定期巡查。</w:t>
            </w:r>
          </w:p>
        </w:tc>
      </w:tr>
      <w:tr>
        <w:tblPrEx>
          <w:tblCellMar>
            <w:top w:w="0" w:type="dxa"/>
            <w:left w:w="108" w:type="dxa"/>
            <w:bottom w:w="0" w:type="dxa"/>
            <w:right w:w="108" w:type="dxa"/>
          </w:tblCellMar>
        </w:tblPrEx>
        <w:trPr>
          <w:trHeight w:val="2315"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36</w:t>
            </w:r>
          </w:p>
        </w:tc>
        <w:tc>
          <w:tcPr>
            <w:tcW w:w="3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1034</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常宁市水口山镇永红混凝土有限公司正北方向100米湘江入河口城镇生活污水排污口</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FF-430482-0090-SH-00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湖南省衡阳市常宁市水口山镇永红混凝土公司</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112.5790971</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26.59504387</w:t>
            </w:r>
          </w:p>
        </w:tc>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否</w:t>
            </w:r>
          </w:p>
        </w:tc>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常宁市第三中学生活污水</w:t>
            </w:r>
          </w:p>
        </w:tc>
        <w:tc>
          <w:tcPr>
            <w:tcW w:w="12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此排口为城镇生活污水未经处理直排湘江，水质浑浊，对排入水体造成污染</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规范整治</w:t>
            </w:r>
          </w:p>
        </w:tc>
        <w:tc>
          <w:tcPr>
            <w:tcW w:w="2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设立标识标牌，建议采用末端截流法，在排污口上游埋管将污水截流至附件的市政污水管网，需制订工程施工方案，尽快实施。</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1、已树立标识牌；</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2、上游污染源已完成截污纳管。</w:t>
            </w:r>
          </w:p>
          <w:p>
            <w:pPr>
              <w:pStyle w:val="2"/>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3、加强监督管理，制定巡查计划，定期巡查。</w:t>
            </w:r>
          </w:p>
        </w:tc>
      </w:tr>
      <w:tr>
        <w:tblPrEx>
          <w:tblCellMar>
            <w:top w:w="0" w:type="dxa"/>
            <w:left w:w="108" w:type="dxa"/>
            <w:bottom w:w="0" w:type="dxa"/>
            <w:right w:w="108" w:type="dxa"/>
          </w:tblCellMar>
        </w:tblPrEx>
        <w:trPr>
          <w:trHeight w:val="2315" w:hRule="atLeast"/>
          <w:jc w:val="center"/>
        </w:trPr>
        <w:tc>
          <w:tcPr>
            <w:tcW w:w="9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37</w:t>
            </w:r>
          </w:p>
        </w:tc>
        <w:tc>
          <w:tcPr>
            <w:tcW w:w="3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1074</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常宁市水口山镇湘江花苑北260米临江城镇生活污水排污口</w:t>
            </w:r>
          </w:p>
        </w:tc>
        <w:tc>
          <w:tcPr>
            <w:tcW w:w="7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FF-430482-0130-SH-00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湖南省衡阳市常宁市水口山镇湘江花苑</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112.5564848</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26.58827402</w:t>
            </w:r>
          </w:p>
        </w:tc>
        <w:tc>
          <w:tcPr>
            <w:tcW w:w="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城镇生活污水排污口</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湖南省常宁市水口山镇湘江花苑居民生活污水</w:t>
            </w:r>
          </w:p>
        </w:tc>
        <w:tc>
          <w:tcPr>
            <w:tcW w:w="12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点位为城镇生活污水排口，沿途无污水混入，排口有水排出</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清理合并</w:t>
            </w:r>
          </w:p>
        </w:tc>
        <w:tc>
          <w:tcPr>
            <w:tcW w:w="2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设立标识标牌，建议采用末端截流法，在排污口上游埋管将污水截流至附件的市政污水管网，需制订工程施工方案，尽快实施。</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2023年12月</w:t>
            </w:r>
          </w:p>
        </w:tc>
        <w:tc>
          <w:tcPr>
            <w:tcW w:w="6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水口山经济开发区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是</w:t>
            </w:r>
          </w:p>
        </w:tc>
        <w:tc>
          <w:tcPr>
            <w:tcW w:w="14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已完成截污纳管，生活污水接入886工程</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2A32E"/>
    <w:multiLevelType w:val="singleLevel"/>
    <w:tmpl w:val="8542A32E"/>
    <w:lvl w:ilvl="0" w:tentative="0">
      <w:start w:val="1"/>
      <w:numFmt w:val="decimal"/>
      <w:suff w:val="nothing"/>
      <w:lvlText w:val="%1、"/>
      <w:lvlJc w:val="left"/>
    </w:lvl>
  </w:abstractNum>
  <w:abstractNum w:abstractNumId="1">
    <w:nsid w:val="AAC2EF30"/>
    <w:multiLevelType w:val="singleLevel"/>
    <w:tmpl w:val="AAC2EF30"/>
    <w:lvl w:ilvl="0" w:tentative="0">
      <w:start w:val="1"/>
      <w:numFmt w:val="decimal"/>
      <w:suff w:val="nothing"/>
      <w:lvlText w:val="%1、"/>
      <w:lvlJc w:val="left"/>
    </w:lvl>
  </w:abstractNum>
  <w:abstractNum w:abstractNumId="2">
    <w:nsid w:val="CDFF621C"/>
    <w:multiLevelType w:val="singleLevel"/>
    <w:tmpl w:val="CDFF621C"/>
    <w:lvl w:ilvl="0" w:tentative="0">
      <w:start w:val="1"/>
      <w:numFmt w:val="decimal"/>
      <w:suff w:val="nothing"/>
      <w:lvlText w:val="%1、"/>
      <w:lvlJc w:val="left"/>
      <w:rPr>
        <w:rFonts w:hint="default"/>
        <w:color w:val="FF0000"/>
      </w:rPr>
    </w:lvl>
  </w:abstractNum>
  <w:abstractNum w:abstractNumId="3">
    <w:nsid w:val="D12CFB89"/>
    <w:multiLevelType w:val="singleLevel"/>
    <w:tmpl w:val="D12CFB89"/>
    <w:lvl w:ilvl="0" w:tentative="0">
      <w:start w:val="1"/>
      <w:numFmt w:val="decimal"/>
      <w:suff w:val="nothing"/>
      <w:lvlText w:val="%1、"/>
      <w:lvlJc w:val="left"/>
    </w:lvl>
  </w:abstractNum>
  <w:abstractNum w:abstractNumId="4">
    <w:nsid w:val="D7FA592C"/>
    <w:multiLevelType w:val="singleLevel"/>
    <w:tmpl w:val="D7FA592C"/>
    <w:lvl w:ilvl="0" w:tentative="0">
      <w:start w:val="1"/>
      <w:numFmt w:val="decimal"/>
      <w:suff w:val="nothing"/>
      <w:lvlText w:val="%1、"/>
      <w:lvlJc w:val="left"/>
    </w:lvl>
  </w:abstractNum>
  <w:abstractNum w:abstractNumId="5">
    <w:nsid w:val="D815FE6B"/>
    <w:multiLevelType w:val="singleLevel"/>
    <w:tmpl w:val="D815FE6B"/>
    <w:lvl w:ilvl="0" w:tentative="0">
      <w:start w:val="1"/>
      <w:numFmt w:val="decimal"/>
      <w:suff w:val="nothing"/>
      <w:lvlText w:val="%1、"/>
      <w:lvlJc w:val="left"/>
    </w:lvl>
  </w:abstractNum>
  <w:abstractNum w:abstractNumId="6">
    <w:nsid w:val="F7F82240"/>
    <w:multiLevelType w:val="singleLevel"/>
    <w:tmpl w:val="F7F82240"/>
    <w:lvl w:ilvl="0" w:tentative="0">
      <w:start w:val="1"/>
      <w:numFmt w:val="decimal"/>
      <w:suff w:val="nothing"/>
      <w:lvlText w:val="%1、"/>
      <w:lvlJc w:val="left"/>
    </w:lvl>
  </w:abstractNum>
  <w:abstractNum w:abstractNumId="7">
    <w:nsid w:val="0924565F"/>
    <w:multiLevelType w:val="singleLevel"/>
    <w:tmpl w:val="0924565F"/>
    <w:lvl w:ilvl="0" w:tentative="0">
      <w:start w:val="1"/>
      <w:numFmt w:val="decimal"/>
      <w:suff w:val="nothing"/>
      <w:lvlText w:val="%1、"/>
      <w:lvlJc w:val="left"/>
    </w:lvl>
  </w:abstractNum>
  <w:abstractNum w:abstractNumId="8">
    <w:nsid w:val="14366C85"/>
    <w:multiLevelType w:val="singleLevel"/>
    <w:tmpl w:val="14366C85"/>
    <w:lvl w:ilvl="0" w:tentative="0">
      <w:start w:val="1"/>
      <w:numFmt w:val="decimal"/>
      <w:suff w:val="nothing"/>
      <w:lvlText w:val="%1、"/>
      <w:lvlJc w:val="left"/>
    </w:lvl>
  </w:abstractNum>
  <w:abstractNum w:abstractNumId="9">
    <w:nsid w:val="47B49E62"/>
    <w:multiLevelType w:val="singleLevel"/>
    <w:tmpl w:val="47B49E62"/>
    <w:lvl w:ilvl="0" w:tentative="0">
      <w:start w:val="1"/>
      <w:numFmt w:val="decimal"/>
      <w:suff w:val="nothing"/>
      <w:lvlText w:val="%1、"/>
      <w:lvlJc w:val="left"/>
    </w:lvl>
  </w:abstractNum>
  <w:num w:numId="1">
    <w:abstractNumId w:val="9"/>
  </w:num>
  <w:num w:numId="2">
    <w:abstractNumId w:val="6"/>
  </w:num>
  <w:num w:numId="3">
    <w:abstractNumId w:val="2"/>
  </w:num>
  <w:num w:numId="4">
    <w:abstractNumId w:val="5"/>
  </w:num>
  <w:num w:numId="5">
    <w:abstractNumId w:val="1"/>
  </w:num>
  <w:num w:numId="6">
    <w:abstractNumId w:val="0"/>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Y2E2YTliZjMwOTk1YTk3ZDQ2NzYyNWY4ODg2ZjkifQ=="/>
  </w:docVars>
  <w:rsids>
    <w:rsidRoot w:val="4EA77004"/>
    <w:rsid w:val="0F28088A"/>
    <w:rsid w:val="155A7A07"/>
    <w:rsid w:val="1F0E006A"/>
    <w:rsid w:val="28FE1CBC"/>
    <w:rsid w:val="2FF1217A"/>
    <w:rsid w:val="366363F0"/>
    <w:rsid w:val="41AE42CE"/>
    <w:rsid w:val="486F20D5"/>
    <w:rsid w:val="4B092567"/>
    <w:rsid w:val="4EA77004"/>
    <w:rsid w:val="51856AE2"/>
    <w:rsid w:val="54062601"/>
    <w:rsid w:val="558F2934"/>
    <w:rsid w:val="629D1ED3"/>
    <w:rsid w:val="6D6B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小标宋简体"/>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2"/>
      <w:szCs w:val="28"/>
    </w:rPr>
  </w:style>
  <w:style w:type="paragraph" w:styleId="3">
    <w:name w:val="toc 5"/>
    <w:basedOn w:val="1"/>
    <w:next w:val="1"/>
    <w:qFormat/>
    <w:uiPriority w:val="0"/>
    <w:pPr>
      <w:ind w:left="1680" w:leftChars="800"/>
    </w:pPr>
    <w:rPr>
      <w:rFonts w:ascii="Times New Roman" w:hAnsi="Times New Roman"/>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9"/>
    <w:unhideWhenUsed/>
    <w:qFormat/>
    <w:uiPriority w:val="0"/>
    <w:pPr>
      <w:spacing w:beforeLines="0" w:afterLines="0"/>
    </w:pPr>
    <w:rPr>
      <w:rFonts w:hint="default" w:ascii="宋体" w:hAnsi="Courier New" w:eastAsia="宋体" w:cs="Times New Roman"/>
      <w:sz w:val="32"/>
      <w:szCs w:val="24"/>
    </w:rPr>
  </w:style>
  <w:style w:type="paragraph" w:customStyle="1" w:styleId="9">
    <w:name w:val="Default"/>
    <w:basedOn w:val="10"/>
    <w:next w:val="7"/>
    <w:autoRedefine/>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kern w:val="2"/>
      <w:sz w:val="24"/>
      <w:szCs w:val="24"/>
      <w:lang w:val="en-US" w:eastAsia="zh-CN" w:bidi="ar-SA"/>
    </w:rPr>
  </w:style>
  <w:style w:type="paragraph" w:customStyle="1" w:styleId="10">
    <w:name w:val="纯文本1"/>
    <w:basedOn w:val="1"/>
    <w:autoRedefine/>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3260</Words>
  <Characters>3460</Characters>
  <Lines>0</Lines>
  <Paragraphs>0</Paragraphs>
  <TotalTime>0</TotalTime>
  <ScaleCrop>false</ScaleCrop>
  <LinksUpToDate>false</LinksUpToDate>
  <CharactersWithSpaces>3482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2023-02-13T07:37:00Z</dcterms:created>
  <dc:creator>wzl</dc:creator>
  <cp:lastModifiedBy>Administrator</cp:lastModifiedBy>
  <dcterms:modified xsi:type="dcterms:W3CDTF">2024-01-16T02:03:52Z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511CDB6CDAF845A58B7C8928931CB5DF_13</vt:lpwstr>
  </property>
</Properties>
</file>