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常宁市</w:t>
      </w:r>
      <w:r>
        <w:rPr>
          <w:rFonts w:hint="eastAsia" w:ascii="Times New Roman" w:hAnsi="Times New Roman" w:eastAsia="方正小标宋简体" w:cs="Times New Roman"/>
          <w:sz w:val="44"/>
          <w:szCs w:val="44"/>
          <w:lang w:val="en-US" w:eastAsia="zh-CN"/>
        </w:rPr>
        <w:t>人民政府泉峰街道办事处</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3</w:t>
      </w:r>
      <w:r>
        <w:rPr>
          <w:rFonts w:ascii="Times New Roman" w:hAnsi="Times New Roman" w:eastAsia="方正小标宋简体" w:cs="Times New Roman"/>
          <w:sz w:val="44"/>
          <w:szCs w:val="44"/>
        </w:rPr>
        <w:t>年度部门整体支出绩效评价报告</w:t>
      </w:r>
    </w:p>
    <w:p>
      <w:pPr>
        <w:spacing w:line="580" w:lineRule="exact"/>
        <w:jc w:val="center"/>
        <w:rPr>
          <w:rFonts w:ascii="Times New Roman" w:hAnsi="Times New Roman" w:eastAsia="方正小标宋简体" w:cs="Times New Roman"/>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pPr>
        <w:pStyle w:val="6"/>
        <w:numPr>
          <w:ilvl w:val="0"/>
          <w:numId w:val="0"/>
        </w:numPr>
        <w:spacing w:after="0"/>
        <w:ind w:left="0" w:leftChars="0" w:firstLine="640" w:firstLineChars="200"/>
        <w:rPr>
          <w:rFonts w:ascii="Times New Roman" w:hAnsi="Times New Roman" w:eastAsia="仿宋_GB2312" w:cs="Times New Roman"/>
          <w:kern w:val="2"/>
          <w:sz w:val="32"/>
          <w:szCs w:val="32"/>
          <w:lang w:val="en-US" w:eastAsia="zh-CN" w:bidi="ar-SA"/>
        </w:rPr>
      </w:pPr>
      <w:r>
        <w:rPr>
          <w:rFonts w:hint="eastAsia" w:ascii="黑体" w:hAnsi="黑体" w:eastAsia="黑体" w:cs="黑体"/>
          <w:sz w:val="32"/>
          <w:szCs w:val="32"/>
        </w:rPr>
        <w:t>（一）基本情况。</w:t>
      </w:r>
      <w:r>
        <w:rPr>
          <w:rFonts w:hint="eastAsia" w:ascii="Times New Roman" w:hAnsi="Times New Roman" w:eastAsia="仿宋_GB2312" w:cs="Times New Roman"/>
          <w:kern w:val="2"/>
          <w:sz w:val="32"/>
          <w:szCs w:val="32"/>
          <w:lang w:val="en-US" w:eastAsia="zh-CN" w:bidi="ar-SA"/>
        </w:rPr>
        <w:t>泉峰办事处位于常宁市城区西南部，总面积约17平方公里，办事处共有3个村，6个社区，人口约6万人。</w:t>
      </w:r>
    </w:p>
    <w:p>
      <w:pPr>
        <w:spacing w:beforeLines="0" w:afterLines="0" w:line="520" w:lineRule="exact"/>
        <w:ind w:firstLine="640"/>
        <w:rPr>
          <w:rFonts w:hint="default" w:eastAsia="Times New Roman"/>
          <w:sz w:val="32"/>
          <w:szCs w:val="24"/>
        </w:rPr>
      </w:pPr>
      <w:r>
        <w:rPr>
          <w:rFonts w:hint="eastAsia" w:ascii="Times New Roman" w:hAnsi="Times New Roman" w:eastAsia="仿宋_GB2312" w:cs="Times New Roman"/>
          <w:kern w:val="2"/>
          <w:sz w:val="32"/>
          <w:szCs w:val="32"/>
          <w:lang w:val="en-US" w:eastAsia="zh-CN" w:bidi="ar-SA"/>
        </w:rPr>
        <w:t>根据编委核定本单位内设处室9个：</w:t>
      </w:r>
      <w:r>
        <w:rPr>
          <w:rFonts w:hint="eastAsia" w:ascii="仿宋" w:hAnsi="仿宋" w:eastAsia="仿宋"/>
          <w:sz w:val="32"/>
          <w:szCs w:val="24"/>
        </w:rPr>
        <w:t>党政综合办公室、经济发展办公室、自然资源和生态环境办公室、社会事务办公室、社会治安综合治理和应急管理办公室、基层党建工作办公室</w:t>
      </w:r>
      <w:r>
        <w:rPr>
          <w:rFonts w:hint="eastAsia" w:ascii="仿宋" w:hAnsi="仿宋" w:eastAsia="仿宋"/>
          <w:sz w:val="32"/>
          <w:szCs w:val="24"/>
          <w:lang w:eastAsia="zh-CN"/>
        </w:rPr>
        <w:t>、</w:t>
      </w:r>
      <w:r>
        <w:rPr>
          <w:rFonts w:hint="eastAsia" w:ascii="仿宋" w:hAnsi="仿宋" w:eastAsia="仿宋"/>
          <w:sz w:val="32"/>
          <w:szCs w:val="24"/>
          <w:lang w:val="en-US" w:eastAsia="zh-CN"/>
        </w:rPr>
        <w:t>农业综合服务中心、社会事务中心、政务中心</w:t>
      </w:r>
      <w:r>
        <w:rPr>
          <w:rFonts w:hint="eastAsia" w:ascii="仿宋" w:hAnsi="仿宋" w:eastAsia="仿宋"/>
          <w:sz w:val="32"/>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本部门编制数67人,在职人数63人，其中:在岗人数63人；离退休人数18人。</w:t>
      </w:r>
    </w:p>
    <w:p>
      <w:pPr>
        <w:pStyle w:val="10"/>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（二）主要工作职能。</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1、执行国家机关和上级人民政府的决定和命令。</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2、组织实施办事处内的经济和社会发展。</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3、负责管理好各职能部门，充分发挥他们的职能作用。</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4、负责保护公有财产不受侵占，维护社会秩序，保障公民的人身权利和合法权益。</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5、加大科技、教育、文化、卫生等事业的发展力度。</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6、承办并完成上级人民政府交办的其他工作。 </w:t>
      </w:r>
    </w:p>
    <w:p>
      <w:pPr>
        <w:numPr>
          <w:ilvl w:val="0"/>
          <w:numId w:val="0"/>
        </w:numPr>
        <w:spacing w:line="580" w:lineRule="exact"/>
        <w:rPr>
          <w:rFonts w:hint="default" w:ascii="楷体_GB2312" w:hAnsi="楷体_GB2312" w:eastAsia="楷体_GB2312" w:cs="楷体_GB2312"/>
          <w:b/>
          <w:bCs/>
          <w:sz w:val="32"/>
          <w:szCs w:val="32"/>
          <w:lang w:val="en-US" w:eastAsia="zh-CN"/>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二、部门整体支出情况</w:t>
      </w:r>
    </w:p>
    <w:p>
      <w:pPr>
        <w:spacing w:beforeLines="0" w:afterLines="0" w:line="520" w:lineRule="exact"/>
        <w:ind w:firstLine="640"/>
        <w:rPr>
          <w:rFonts w:hint="eastAsia" w:ascii="仿宋" w:hAnsi="仿宋" w:eastAsia="仿宋"/>
          <w:sz w:val="32"/>
          <w:szCs w:val="24"/>
          <w:highlight w:val="white"/>
          <w:lang w:val="en-US" w:eastAsia="zh-CN"/>
        </w:rPr>
      </w:pPr>
      <w:r>
        <w:rPr>
          <w:rFonts w:hint="eastAsia" w:ascii="仿宋_GB2312" w:eastAsia="仿宋_GB2312"/>
          <w:sz w:val="32"/>
          <w:szCs w:val="32"/>
        </w:rPr>
        <w:t>2023年</w:t>
      </w:r>
      <w:r>
        <w:rPr>
          <w:rFonts w:hint="eastAsia" w:ascii="仿宋_GB2312" w:eastAsia="仿宋_GB2312"/>
          <w:sz w:val="32"/>
          <w:szCs w:val="32"/>
          <w:lang w:val="en-US" w:eastAsia="zh-CN"/>
        </w:rPr>
        <w:t>办事处</w:t>
      </w:r>
      <w:r>
        <w:rPr>
          <w:rFonts w:hint="eastAsia" w:ascii="仿宋" w:hAnsi="仿宋" w:eastAsia="仿宋"/>
          <w:sz w:val="32"/>
          <w:szCs w:val="24"/>
          <w:highlight w:val="white"/>
          <w:lang w:val="en-US"/>
        </w:rPr>
        <w:t>本年收入</w:t>
      </w:r>
      <w:r>
        <w:rPr>
          <w:rFonts w:hint="eastAsia" w:ascii="仿宋" w:hAnsi="仿宋" w:eastAsia="仿宋"/>
          <w:sz w:val="32"/>
          <w:szCs w:val="24"/>
          <w:highlight w:val="white"/>
          <w:lang w:val="en-US" w:eastAsia="zh-CN"/>
        </w:rPr>
        <w:t>1223.06</w:t>
      </w:r>
      <w:r>
        <w:rPr>
          <w:rFonts w:hint="eastAsia" w:ascii="仿宋" w:hAnsi="仿宋" w:eastAsia="仿宋"/>
          <w:sz w:val="32"/>
          <w:szCs w:val="24"/>
          <w:highlight w:val="white"/>
          <w:lang w:val="en-US"/>
        </w:rPr>
        <w:t>万元，其中：</w:t>
      </w:r>
      <w:r>
        <w:rPr>
          <w:rFonts w:hint="eastAsia" w:ascii="仿宋" w:hAnsi="仿宋" w:eastAsia="仿宋"/>
          <w:sz w:val="32"/>
          <w:szCs w:val="24"/>
          <w:highlight w:val="white"/>
          <w:lang w:val="en-US" w:eastAsia="zh-CN"/>
        </w:rPr>
        <w:t>一般公共预算</w:t>
      </w:r>
      <w:r>
        <w:rPr>
          <w:rFonts w:hint="eastAsia" w:ascii="仿宋" w:hAnsi="仿宋" w:eastAsia="仿宋"/>
          <w:sz w:val="32"/>
          <w:szCs w:val="24"/>
          <w:highlight w:val="white"/>
          <w:lang w:val="en-US"/>
        </w:rPr>
        <w:t>财政拨款收入</w:t>
      </w:r>
      <w:r>
        <w:rPr>
          <w:rFonts w:hint="eastAsia" w:ascii="仿宋" w:hAnsi="仿宋" w:eastAsia="仿宋"/>
          <w:sz w:val="32"/>
          <w:szCs w:val="24"/>
          <w:highlight w:val="white"/>
          <w:lang w:val="en-US" w:eastAsia="zh-CN"/>
        </w:rPr>
        <w:t>1193.06</w:t>
      </w:r>
      <w:r>
        <w:rPr>
          <w:rFonts w:hint="eastAsia" w:ascii="仿宋" w:hAnsi="仿宋" w:eastAsia="仿宋"/>
          <w:sz w:val="32"/>
          <w:szCs w:val="24"/>
          <w:highlight w:val="white"/>
          <w:lang w:val="en-US"/>
        </w:rPr>
        <w:t>万元，占</w:t>
      </w:r>
      <w:r>
        <w:rPr>
          <w:rFonts w:hint="eastAsia" w:ascii="仿宋" w:hAnsi="仿宋" w:eastAsia="仿宋"/>
          <w:sz w:val="32"/>
          <w:szCs w:val="24"/>
          <w:highlight w:val="white"/>
          <w:lang w:val="en-US" w:eastAsia="zh-CN"/>
        </w:rPr>
        <w:t>总收入97.55</w:t>
      </w:r>
      <w:r>
        <w:rPr>
          <w:rFonts w:hint="eastAsia" w:ascii="仿宋" w:hAnsi="仿宋" w:eastAsia="仿宋"/>
          <w:sz w:val="32"/>
          <w:szCs w:val="24"/>
          <w:highlight w:val="white"/>
          <w:lang w:val="en-US"/>
        </w:rPr>
        <w:t>%；</w:t>
      </w:r>
      <w:r>
        <w:rPr>
          <w:rFonts w:hint="eastAsia" w:ascii="仿宋" w:hAnsi="仿宋" w:eastAsia="仿宋"/>
          <w:sz w:val="32"/>
          <w:szCs w:val="24"/>
          <w:highlight w:val="white"/>
          <w:lang w:val="en-US" w:eastAsia="zh-CN"/>
        </w:rPr>
        <w:t>政府性基金预算财政拨款收入30万元，占总收入2.45%。</w:t>
      </w:r>
    </w:p>
    <w:p>
      <w:pPr>
        <w:ind w:firstLine="640" w:firstLineChars="200"/>
        <w:rPr>
          <w:rFonts w:hint="eastAsia" w:ascii="仿宋_GB2312" w:eastAsia="仿宋_GB2312"/>
          <w:sz w:val="32"/>
          <w:szCs w:val="32"/>
          <w:lang w:val="en-US" w:eastAsia="zh-CN"/>
        </w:rPr>
      </w:pPr>
      <w:r>
        <w:rPr>
          <w:rFonts w:hint="eastAsia" w:ascii="仿宋" w:hAnsi="仿宋" w:eastAsia="仿宋"/>
          <w:sz w:val="32"/>
          <w:szCs w:val="24"/>
          <w:highlight w:val="white"/>
          <w:lang w:val="en-US"/>
        </w:rPr>
        <w:t>本年支出</w:t>
      </w:r>
      <w:r>
        <w:rPr>
          <w:rFonts w:hint="eastAsia" w:ascii="仿宋" w:hAnsi="仿宋" w:eastAsia="仿宋"/>
          <w:sz w:val="32"/>
          <w:szCs w:val="24"/>
          <w:highlight w:val="white"/>
          <w:lang w:val="en-US" w:eastAsia="zh-CN"/>
        </w:rPr>
        <w:t>1223.06万元</w:t>
      </w:r>
      <w:r>
        <w:rPr>
          <w:rFonts w:hint="eastAsia" w:ascii="仿宋" w:hAnsi="仿宋" w:eastAsia="仿宋"/>
          <w:sz w:val="32"/>
          <w:szCs w:val="24"/>
          <w:highlight w:val="white"/>
          <w:lang w:val="en-US"/>
        </w:rPr>
        <w:t>，按支出性质分其中：基本支出</w:t>
      </w:r>
      <w:r>
        <w:rPr>
          <w:rFonts w:hint="eastAsia" w:ascii="仿宋" w:hAnsi="仿宋" w:eastAsia="仿宋"/>
          <w:sz w:val="32"/>
          <w:szCs w:val="24"/>
          <w:highlight w:val="white"/>
          <w:lang w:val="en-US" w:eastAsia="zh-CN"/>
        </w:rPr>
        <w:t>799.74万元</w:t>
      </w:r>
      <w:r>
        <w:rPr>
          <w:rFonts w:hint="eastAsia" w:ascii="仿宋" w:hAnsi="仿宋" w:eastAsia="仿宋"/>
          <w:sz w:val="32"/>
          <w:szCs w:val="24"/>
          <w:highlight w:val="white"/>
          <w:lang w:val="zh-CN"/>
        </w:rPr>
        <w:t>，</w:t>
      </w:r>
      <w:r>
        <w:rPr>
          <w:rFonts w:hint="eastAsia" w:ascii="仿宋" w:hAnsi="仿宋" w:eastAsia="仿宋"/>
          <w:sz w:val="32"/>
          <w:szCs w:val="24"/>
          <w:highlight w:val="white"/>
          <w:lang w:val="en-US"/>
        </w:rPr>
        <w:t>占</w:t>
      </w:r>
      <w:r>
        <w:rPr>
          <w:rFonts w:hint="eastAsia" w:ascii="仿宋" w:hAnsi="仿宋" w:eastAsia="仿宋"/>
          <w:sz w:val="32"/>
          <w:szCs w:val="24"/>
          <w:highlight w:val="white"/>
          <w:lang w:val="en-US" w:eastAsia="zh-CN"/>
        </w:rPr>
        <w:t>总支出65.39</w:t>
      </w:r>
      <w:r>
        <w:rPr>
          <w:rFonts w:hint="eastAsia" w:ascii="仿宋" w:hAnsi="仿宋" w:eastAsia="仿宋"/>
          <w:sz w:val="32"/>
          <w:szCs w:val="24"/>
          <w:highlight w:val="white"/>
          <w:lang w:val="en-US"/>
        </w:rPr>
        <w:t>%</w:t>
      </w:r>
      <w:r>
        <w:rPr>
          <w:rFonts w:hint="eastAsia" w:ascii="仿宋" w:hAnsi="仿宋" w:eastAsia="仿宋"/>
          <w:sz w:val="32"/>
          <w:szCs w:val="24"/>
          <w:highlight w:val="white"/>
          <w:lang w:val="en-US" w:eastAsia="zh-CN"/>
        </w:rPr>
        <w:t>，</w:t>
      </w:r>
      <w:r>
        <w:rPr>
          <w:rFonts w:hint="eastAsia" w:ascii="仿宋_GB2312" w:eastAsia="仿宋_GB2312"/>
          <w:sz w:val="32"/>
          <w:szCs w:val="32"/>
        </w:rPr>
        <w:t>其中：人员经费</w:t>
      </w:r>
      <w:r>
        <w:rPr>
          <w:rFonts w:hint="eastAsia" w:ascii="仿宋_GB2312" w:eastAsia="仿宋_GB2312"/>
          <w:sz w:val="32"/>
          <w:szCs w:val="32"/>
          <w:lang w:val="en-US" w:eastAsia="zh-CN"/>
        </w:rPr>
        <w:t>626.95</w:t>
      </w:r>
      <w:r>
        <w:rPr>
          <w:rFonts w:hint="eastAsia" w:ascii="仿宋_GB2312" w:eastAsia="仿宋_GB2312"/>
          <w:sz w:val="32"/>
          <w:szCs w:val="32"/>
        </w:rPr>
        <w:t>万元主要用于在职人员工资福利、社会保障缴费、基本养老保险缴费、医疗保险、住房公积金、绩效奖金等；公用经费</w:t>
      </w:r>
      <w:r>
        <w:rPr>
          <w:rFonts w:hint="eastAsia" w:ascii="仿宋_GB2312" w:eastAsia="仿宋_GB2312"/>
          <w:sz w:val="32"/>
          <w:szCs w:val="32"/>
          <w:lang w:val="en-US" w:eastAsia="zh-CN"/>
        </w:rPr>
        <w:t>172.79</w:t>
      </w:r>
      <w:r>
        <w:rPr>
          <w:rFonts w:hint="eastAsia" w:ascii="仿宋_GB2312" w:eastAsia="仿宋_GB2312"/>
          <w:sz w:val="32"/>
          <w:szCs w:val="32"/>
        </w:rPr>
        <w:t>万元主要用于办公费、印刷费、差旅费、手续费、水电费、邮电费、公务用车维护费、差旅费、维修维护费、培训费、公务接待费、劳务费等；</w:t>
      </w:r>
      <w:r>
        <w:rPr>
          <w:rFonts w:hint="eastAsia" w:ascii="仿宋" w:hAnsi="仿宋" w:eastAsia="仿宋"/>
          <w:sz w:val="32"/>
          <w:szCs w:val="24"/>
          <w:highlight w:val="white"/>
          <w:lang w:val="en-US"/>
        </w:rPr>
        <w:t>项目支出</w:t>
      </w:r>
      <w:r>
        <w:rPr>
          <w:rFonts w:hint="eastAsia" w:ascii="仿宋" w:hAnsi="仿宋" w:eastAsia="仿宋"/>
          <w:sz w:val="32"/>
          <w:szCs w:val="24"/>
          <w:highlight w:val="white"/>
          <w:lang w:val="en-US" w:eastAsia="zh-CN"/>
        </w:rPr>
        <w:t>423.32</w:t>
      </w:r>
      <w:r>
        <w:rPr>
          <w:rFonts w:hint="eastAsia" w:ascii="仿宋" w:hAnsi="仿宋" w:eastAsia="仿宋"/>
          <w:sz w:val="32"/>
          <w:szCs w:val="24"/>
          <w:highlight w:val="white"/>
          <w:lang w:val="en-US"/>
        </w:rPr>
        <w:t>万元，占</w:t>
      </w:r>
      <w:r>
        <w:rPr>
          <w:rFonts w:hint="eastAsia" w:ascii="仿宋" w:hAnsi="仿宋" w:eastAsia="仿宋"/>
          <w:sz w:val="32"/>
          <w:szCs w:val="24"/>
          <w:highlight w:val="white"/>
          <w:lang w:val="en-US" w:eastAsia="zh-CN"/>
        </w:rPr>
        <w:t>总支出34.61</w:t>
      </w:r>
      <w:r>
        <w:rPr>
          <w:rFonts w:hint="eastAsia" w:ascii="仿宋" w:hAnsi="仿宋" w:eastAsia="仿宋"/>
          <w:sz w:val="32"/>
          <w:szCs w:val="24"/>
          <w:highlight w:val="white"/>
          <w:lang w:val="en-US"/>
        </w:rPr>
        <w:t>%</w:t>
      </w:r>
      <w:r>
        <w:rPr>
          <w:rFonts w:hint="eastAsia" w:ascii="仿宋" w:hAnsi="仿宋" w:eastAsia="仿宋"/>
          <w:sz w:val="32"/>
          <w:szCs w:val="24"/>
          <w:highlight w:val="white"/>
          <w:lang w:val="en-US" w:eastAsia="zh-CN"/>
        </w:rPr>
        <w:t>，</w:t>
      </w:r>
      <w:r>
        <w:rPr>
          <w:rFonts w:hint="eastAsia" w:ascii="仿宋_GB2312" w:eastAsia="仿宋_GB2312"/>
          <w:sz w:val="32"/>
          <w:szCs w:val="32"/>
        </w:rPr>
        <w:t>主要为</w:t>
      </w:r>
      <w:r>
        <w:rPr>
          <w:rFonts w:hint="eastAsia" w:ascii="仿宋_GB2312" w:eastAsia="仿宋_GB2312"/>
          <w:sz w:val="32"/>
          <w:szCs w:val="32"/>
          <w:lang w:val="en-US" w:eastAsia="zh-CN"/>
        </w:rPr>
        <w:t>转移支付资金、乡村振兴资金、基础建设资金、城乡治理资金。</w:t>
      </w:r>
    </w:p>
    <w:p>
      <w:pPr>
        <w:ind w:firstLine="640" w:firstLineChars="200"/>
        <w:rPr>
          <w:rFonts w:hint="eastAsia" w:ascii="仿宋" w:hAnsi="仿宋" w:eastAsia="仿宋"/>
          <w:sz w:val="32"/>
          <w:szCs w:val="24"/>
          <w:lang w:val="en-US"/>
        </w:rPr>
      </w:pPr>
      <w:r>
        <w:rPr>
          <w:rFonts w:hint="eastAsia" w:ascii="仿宋" w:hAnsi="仿宋" w:eastAsia="仿宋"/>
          <w:sz w:val="32"/>
          <w:szCs w:val="24"/>
          <w:highlight w:val="white"/>
          <w:lang w:val="en-US"/>
        </w:rPr>
        <w:t>按支出经济分类分其中：工资福利支出</w:t>
      </w:r>
      <w:r>
        <w:rPr>
          <w:rFonts w:hint="eastAsia" w:ascii="仿宋" w:hAnsi="仿宋" w:eastAsia="仿宋"/>
          <w:sz w:val="32"/>
          <w:szCs w:val="24"/>
          <w:highlight w:val="white"/>
          <w:lang w:val="en-US" w:eastAsia="zh-CN"/>
        </w:rPr>
        <w:t>635.12</w:t>
      </w:r>
      <w:r>
        <w:rPr>
          <w:rFonts w:hint="eastAsia" w:ascii="仿宋" w:hAnsi="仿宋" w:eastAsia="仿宋"/>
          <w:sz w:val="32"/>
          <w:szCs w:val="24"/>
          <w:highlight w:val="white"/>
          <w:lang w:val="zh-CN"/>
        </w:rPr>
        <w:t>万元，</w:t>
      </w:r>
      <w:r>
        <w:rPr>
          <w:rFonts w:hint="eastAsia" w:ascii="仿宋" w:hAnsi="仿宋" w:eastAsia="仿宋"/>
          <w:sz w:val="32"/>
          <w:szCs w:val="24"/>
          <w:highlight w:val="white"/>
          <w:lang w:val="en-US"/>
        </w:rPr>
        <w:t>占</w:t>
      </w:r>
      <w:r>
        <w:rPr>
          <w:rFonts w:hint="eastAsia" w:ascii="仿宋" w:hAnsi="仿宋" w:eastAsia="仿宋"/>
          <w:sz w:val="32"/>
          <w:szCs w:val="24"/>
          <w:highlight w:val="white"/>
          <w:lang w:val="en-US" w:eastAsia="zh-CN"/>
        </w:rPr>
        <w:t>51.93</w:t>
      </w:r>
      <w:r>
        <w:rPr>
          <w:rFonts w:hint="eastAsia" w:ascii="仿宋" w:hAnsi="仿宋" w:eastAsia="仿宋"/>
          <w:sz w:val="32"/>
          <w:szCs w:val="24"/>
          <w:highlight w:val="white"/>
          <w:lang w:val="en-US"/>
        </w:rPr>
        <w:t>%；商品和服务支出</w:t>
      </w:r>
      <w:r>
        <w:rPr>
          <w:rFonts w:hint="eastAsia" w:ascii="仿宋" w:hAnsi="仿宋" w:eastAsia="仿宋"/>
          <w:sz w:val="32"/>
          <w:szCs w:val="24"/>
          <w:highlight w:val="white"/>
          <w:lang w:val="en-US" w:eastAsia="zh-CN"/>
        </w:rPr>
        <w:t>326.45</w:t>
      </w:r>
      <w:r>
        <w:rPr>
          <w:rFonts w:hint="eastAsia" w:ascii="仿宋" w:hAnsi="仿宋" w:eastAsia="仿宋"/>
          <w:sz w:val="32"/>
          <w:szCs w:val="24"/>
          <w:highlight w:val="white"/>
          <w:lang w:val="en-US"/>
        </w:rPr>
        <w:t>万元，占</w:t>
      </w:r>
      <w:r>
        <w:rPr>
          <w:rFonts w:hint="eastAsia" w:ascii="仿宋" w:hAnsi="仿宋" w:eastAsia="仿宋"/>
          <w:sz w:val="32"/>
          <w:szCs w:val="24"/>
          <w:highlight w:val="white"/>
          <w:lang w:val="en-US" w:eastAsia="zh-CN"/>
        </w:rPr>
        <w:t>26.69</w:t>
      </w:r>
      <w:r>
        <w:rPr>
          <w:rFonts w:hint="eastAsia" w:ascii="仿宋" w:hAnsi="仿宋" w:eastAsia="仿宋"/>
          <w:sz w:val="32"/>
          <w:szCs w:val="24"/>
          <w:highlight w:val="white"/>
          <w:lang w:val="en-US"/>
        </w:rPr>
        <w:t>%；对个人和家庭的补助</w:t>
      </w:r>
      <w:r>
        <w:rPr>
          <w:rFonts w:hint="eastAsia" w:ascii="仿宋" w:hAnsi="仿宋" w:eastAsia="仿宋"/>
          <w:sz w:val="32"/>
          <w:szCs w:val="24"/>
          <w:highlight w:val="white"/>
          <w:lang w:val="en-US" w:eastAsia="zh-CN"/>
        </w:rPr>
        <w:t>193.14</w:t>
      </w:r>
      <w:r>
        <w:rPr>
          <w:rFonts w:hint="eastAsia" w:ascii="仿宋" w:hAnsi="仿宋" w:eastAsia="仿宋"/>
          <w:sz w:val="32"/>
          <w:szCs w:val="24"/>
          <w:highlight w:val="white"/>
          <w:lang w:val="en-US"/>
        </w:rPr>
        <w:t>万元，占</w:t>
      </w:r>
      <w:r>
        <w:rPr>
          <w:rFonts w:hint="eastAsia" w:ascii="仿宋" w:hAnsi="仿宋" w:eastAsia="仿宋"/>
          <w:sz w:val="32"/>
          <w:szCs w:val="24"/>
          <w:highlight w:val="white"/>
          <w:lang w:val="en-US" w:eastAsia="zh-CN"/>
        </w:rPr>
        <w:t>15.79</w:t>
      </w:r>
      <w:r>
        <w:rPr>
          <w:rFonts w:hint="eastAsia" w:ascii="仿宋" w:hAnsi="仿宋" w:eastAsia="仿宋"/>
          <w:sz w:val="32"/>
          <w:szCs w:val="24"/>
          <w:highlight w:val="white"/>
          <w:lang w:val="en-US"/>
        </w:rPr>
        <w:t>%；资本性支出</w:t>
      </w:r>
      <w:r>
        <w:rPr>
          <w:rFonts w:hint="eastAsia" w:ascii="仿宋" w:hAnsi="仿宋" w:eastAsia="仿宋"/>
          <w:sz w:val="32"/>
          <w:szCs w:val="24"/>
          <w:highlight w:val="white"/>
          <w:lang w:val="en-US" w:eastAsia="zh-CN"/>
        </w:rPr>
        <w:t>68.35</w:t>
      </w:r>
      <w:r>
        <w:rPr>
          <w:rFonts w:hint="eastAsia" w:ascii="仿宋" w:hAnsi="仿宋" w:eastAsia="仿宋"/>
          <w:sz w:val="32"/>
          <w:szCs w:val="24"/>
          <w:highlight w:val="white"/>
          <w:lang w:val="en-US"/>
        </w:rPr>
        <w:t>万元，占</w:t>
      </w:r>
      <w:r>
        <w:rPr>
          <w:rFonts w:hint="eastAsia" w:ascii="仿宋" w:hAnsi="仿宋" w:eastAsia="仿宋"/>
          <w:sz w:val="32"/>
          <w:szCs w:val="24"/>
          <w:highlight w:val="white"/>
          <w:lang w:val="en-US" w:eastAsia="zh-CN"/>
        </w:rPr>
        <w:t>5.59</w:t>
      </w:r>
      <w:r>
        <w:rPr>
          <w:rFonts w:hint="eastAsia" w:ascii="仿宋" w:hAnsi="仿宋" w:eastAsia="仿宋"/>
          <w:sz w:val="32"/>
          <w:szCs w:val="24"/>
          <w:highlight w:val="white"/>
          <w:lang w:val="en-US"/>
        </w:rPr>
        <w:t>%。</w:t>
      </w:r>
    </w:p>
    <w:p>
      <w:pPr>
        <w:ind w:firstLine="630" w:firstLineChars="196"/>
        <w:rPr>
          <w:rFonts w:hint="eastAsia" w:ascii="仿宋_GB2312" w:eastAsia="仿宋_GB2312"/>
          <w:bCs/>
          <w:sz w:val="32"/>
          <w:szCs w:val="32"/>
          <w:lang w:eastAsia="zh-CN"/>
        </w:rPr>
      </w:pPr>
      <w:r>
        <w:rPr>
          <w:rFonts w:hint="eastAsia" w:ascii="仿宋_GB2312" w:eastAsia="仿宋_GB2312"/>
          <w:b/>
          <w:bCs/>
          <w:sz w:val="32"/>
          <w:szCs w:val="32"/>
        </w:rPr>
        <w:t>三公经费支出情况：</w:t>
      </w:r>
      <w:r>
        <w:rPr>
          <w:rFonts w:hint="eastAsia" w:ascii="仿宋_GB2312" w:eastAsia="仿宋_GB2312"/>
          <w:bCs/>
          <w:sz w:val="32"/>
          <w:szCs w:val="32"/>
        </w:rPr>
        <w:t>全年</w:t>
      </w:r>
      <w:r>
        <w:rPr>
          <w:rFonts w:hint="eastAsia" w:ascii="仿宋_GB2312" w:eastAsia="仿宋_GB2312"/>
          <w:bCs/>
          <w:sz w:val="32"/>
          <w:szCs w:val="32"/>
          <w:lang w:val="en-US" w:eastAsia="zh-CN"/>
        </w:rPr>
        <w:t>预算17.8万元，本年实际</w:t>
      </w:r>
      <w:r>
        <w:rPr>
          <w:rFonts w:hint="eastAsia" w:ascii="仿宋_GB2312" w:eastAsia="仿宋_GB2312"/>
          <w:bCs/>
          <w:sz w:val="32"/>
          <w:szCs w:val="32"/>
        </w:rPr>
        <w:t>支出</w:t>
      </w:r>
      <w:r>
        <w:rPr>
          <w:rFonts w:hint="eastAsia" w:ascii="仿宋_GB2312" w:eastAsia="仿宋_GB2312"/>
          <w:bCs/>
          <w:sz w:val="32"/>
          <w:szCs w:val="32"/>
          <w:lang w:val="en-US" w:eastAsia="zh-CN"/>
        </w:rPr>
        <w:t>13.08</w:t>
      </w:r>
      <w:r>
        <w:rPr>
          <w:rFonts w:hint="eastAsia" w:ascii="仿宋_GB2312" w:eastAsia="仿宋_GB2312"/>
          <w:bCs/>
          <w:sz w:val="32"/>
          <w:szCs w:val="32"/>
        </w:rPr>
        <w:t>万元，</w:t>
      </w:r>
      <w:r>
        <w:rPr>
          <w:rFonts w:hint="eastAsia" w:ascii="仿宋_GB2312" w:eastAsia="仿宋_GB2312"/>
          <w:bCs/>
          <w:sz w:val="32"/>
          <w:szCs w:val="32"/>
          <w:lang w:val="en-US" w:eastAsia="zh-CN"/>
        </w:rPr>
        <w:t>完成预算的73.48%，</w:t>
      </w:r>
      <w:r>
        <w:rPr>
          <w:rFonts w:hint="eastAsia" w:ascii="仿宋_GB2312" w:eastAsia="仿宋_GB2312"/>
          <w:bCs/>
          <w:sz w:val="32"/>
          <w:szCs w:val="32"/>
        </w:rPr>
        <w:t>其中：公务接待费</w:t>
      </w:r>
      <w:r>
        <w:rPr>
          <w:rFonts w:hint="eastAsia" w:ascii="仿宋_GB2312" w:eastAsia="仿宋_GB2312"/>
          <w:bCs/>
          <w:sz w:val="32"/>
          <w:szCs w:val="32"/>
          <w:lang w:val="en-US" w:eastAsia="zh-CN"/>
        </w:rPr>
        <w:t>11万</w:t>
      </w:r>
      <w:r>
        <w:rPr>
          <w:rFonts w:hint="eastAsia" w:ascii="仿宋_GB2312" w:eastAsia="仿宋_GB2312"/>
          <w:bCs/>
          <w:sz w:val="32"/>
          <w:szCs w:val="32"/>
        </w:rPr>
        <w:t>元，</w:t>
      </w:r>
      <w:r>
        <w:rPr>
          <w:rFonts w:hint="eastAsia" w:ascii="仿宋_GB2312" w:eastAsia="仿宋_GB2312"/>
          <w:sz w:val="32"/>
          <w:szCs w:val="32"/>
        </w:rPr>
        <w:t>公务用车购置费及运行维护费支出</w:t>
      </w:r>
      <w:r>
        <w:rPr>
          <w:rFonts w:hint="eastAsia" w:ascii="仿宋_GB2312" w:eastAsia="仿宋_GB2312"/>
          <w:sz w:val="32"/>
          <w:szCs w:val="32"/>
          <w:lang w:val="en-US" w:eastAsia="zh-CN"/>
        </w:rPr>
        <w:t>2.08</w:t>
      </w:r>
      <w:r>
        <w:rPr>
          <w:rFonts w:hint="eastAsia" w:ascii="仿宋_GB2312" w:eastAsia="仿宋_GB2312"/>
          <w:sz w:val="32"/>
          <w:szCs w:val="32"/>
        </w:rPr>
        <w:t>万元</w:t>
      </w:r>
      <w:r>
        <w:rPr>
          <w:rFonts w:hint="eastAsia" w:ascii="仿宋_GB2312" w:eastAsia="仿宋_GB2312"/>
          <w:sz w:val="32"/>
          <w:szCs w:val="32"/>
          <w:lang w:eastAsia="zh-CN"/>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三、部门专项组织实施情况</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（一）专项组织情况分析。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1、严格管理项目申报流程，对所申报项目开展论证，从中选优立项。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2、制定了项目总体实施方案，并指导各项目依据总体实施方案和项目批复文件的要求，落实各个项目的具体实施过程，并明确责任主体，使项目管理进一步规范。</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（二）专项管理情况分析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1、加强项目管理，</w:t>
      </w:r>
      <w:r>
        <w:rPr>
          <w:rFonts w:hint="eastAsia" w:ascii="Times New Roman" w:hAnsi="Times New Roman" w:eastAsia="仿宋_GB2312" w:cs="Times New Roman"/>
          <w:sz w:val="32"/>
          <w:szCs w:val="32"/>
          <w:highlight w:val="none"/>
          <w:lang w:val="en-US" w:eastAsia="zh-CN"/>
        </w:rPr>
        <w:t>实行项目库管理</w:t>
      </w:r>
      <w:r>
        <w:rPr>
          <w:rFonts w:ascii="Times New Roman" w:hAnsi="Times New Roman" w:eastAsia="仿宋_GB2312" w:cs="Times New Roman"/>
          <w:sz w:val="32"/>
          <w:szCs w:val="32"/>
          <w:highlight w:val="none"/>
        </w:rPr>
        <w:t>，对项目实施</w:t>
      </w:r>
      <w:r>
        <w:rPr>
          <w:rFonts w:hint="eastAsia" w:ascii="Times New Roman" w:hAnsi="Times New Roman" w:eastAsia="仿宋_GB2312" w:cs="Times New Roman"/>
          <w:sz w:val="32"/>
          <w:szCs w:val="32"/>
          <w:highlight w:val="none"/>
          <w:lang w:val="en-US" w:eastAsia="zh-CN"/>
        </w:rPr>
        <w:t>全程</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lang w:val="en-US" w:eastAsia="zh-CN"/>
        </w:rPr>
        <w:t>监督管理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尤其在项目实施</w:t>
      </w:r>
      <w:r>
        <w:rPr>
          <w:rFonts w:ascii="Times New Roman" w:hAnsi="Times New Roman" w:eastAsia="仿宋_GB2312" w:cs="Times New Roman"/>
          <w:sz w:val="32"/>
          <w:szCs w:val="32"/>
        </w:rPr>
        <w:t>关键环节中，组织项目管理相关部门对项目实施情况进行抽查督查。</w:t>
      </w:r>
    </w:p>
    <w:p>
      <w:pPr>
        <w:ind w:firstLine="640" w:firstLineChars="200"/>
        <w:rPr>
          <w:rFonts w:ascii="黑体" w:hAnsi="黑体" w:eastAsia="黑体" w:cs="黑体"/>
          <w:sz w:val="32"/>
          <w:szCs w:val="32"/>
        </w:rPr>
      </w:pPr>
      <w:r>
        <w:rPr>
          <w:rFonts w:hint="eastAsia" w:ascii="黑体" w:hAnsi="黑体" w:eastAsia="黑体" w:cs="黑体"/>
          <w:sz w:val="32"/>
          <w:szCs w:val="32"/>
        </w:rPr>
        <w:t>四、资产管理情况</w:t>
      </w:r>
    </w:p>
    <w:p>
      <w:pPr>
        <w:pStyle w:val="5"/>
        <w:numPr>
          <w:ilvl w:val="0"/>
          <w:numId w:val="0"/>
        </w:numPr>
        <w:tabs>
          <w:tab w:val="left" w:pos="668"/>
        </w:tabs>
        <w:spacing w:before="0" w:beforeAutospacing="0" w:after="0" w:afterAutospacing="0" w:line="240" w:lineRule="auto"/>
        <w:ind w:left="0" w:leftChars="0" w:firstLine="640" w:firstLineChars="200"/>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为规范和加强固定资产管理，</w:t>
      </w:r>
      <w:r>
        <w:rPr>
          <w:rFonts w:hint="eastAsia" w:ascii="Times New Roman" w:hAnsi="Times New Roman" w:eastAsia="仿宋_GB2312" w:cs="Times New Roman"/>
          <w:kern w:val="2"/>
          <w:sz w:val="32"/>
          <w:szCs w:val="32"/>
          <w:lang w:val="en-US" w:eastAsia="zh-CN" w:bidi="ar-SA"/>
        </w:rPr>
        <w:t>办事处建立健全了资产管理制度，依法对资产的购置、使用和处置等实施全过程管理。使用财政资金购置资产，按资产配置的标准和要求，实行政府采购，及时进行账务处理，并定期清理，做到账实相符。</w:t>
      </w:r>
    </w:p>
    <w:p>
      <w:pPr>
        <w:ind w:firstLine="640" w:firstLineChars="200"/>
        <w:rPr>
          <w:rFonts w:ascii="黑体" w:hAnsi="黑体" w:eastAsia="黑体" w:cs="黑体"/>
          <w:sz w:val="32"/>
          <w:szCs w:val="32"/>
        </w:rPr>
      </w:pPr>
      <w:r>
        <w:rPr>
          <w:rFonts w:hint="eastAsia" w:ascii="黑体" w:hAnsi="黑体" w:eastAsia="黑体" w:cs="黑体"/>
          <w:sz w:val="32"/>
          <w:szCs w:val="32"/>
        </w:rPr>
        <w:t>五、部门整体支出绩效情况</w:t>
      </w:r>
    </w:p>
    <w:p>
      <w:pPr>
        <w:rPr>
          <w:rFonts w:ascii="仿宋_GB2312" w:eastAsia="仿宋_GB2312"/>
          <w:sz w:val="32"/>
          <w:szCs w:val="32"/>
        </w:rPr>
      </w:pPr>
      <w:r>
        <w:rPr>
          <w:rFonts w:hint="eastAsia"/>
        </w:rPr>
        <w:t xml:space="preserve">   </w:t>
      </w:r>
      <w:r>
        <w:rPr>
          <w:rFonts w:hint="eastAsia" w:ascii="仿宋_GB2312" w:eastAsia="仿宋_GB2312"/>
          <w:sz w:val="32"/>
          <w:szCs w:val="32"/>
        </w:rPr>
        <w:t xml:space="preserve"> 2023年以来，在市委、市政府及</w:t>
      </w:r>
      <w:r>
        <w:rPr>
          <w:rFonts w:hint="eastAsia" w:ascii="仿宋_GB2312" w:eastAsia="仿宋_GB2312"/>
          <w:sz w:val="32"/>
          <w:szCs w:val="32"/>
          <w:lang w:val="en-US" w:eastAsia="zh-CN"/>
        </w:rPr>
        <w:t>市财政</w:t>
      </w:r>
      <w:r>
        <w:rPr>
          <w:rFonts w:hint="eastAsia" w:ascii="仿宋_GB2312" w:eastAsia="仿宋_GB2312"/>
          <w:sz w:val="32"/>
          <w:szCs w:val="32"/>
        </w:rPr>
        <w:t>局的正确领导下，</w:t>
      </w:r>
      <w:r>
        <w:rPr>
          <w:rFonts w:hint="eastAsia" w:ascii="仿宋_GB2312" w:eastAsia="仿宋_GB2312"/>
          <w:sz w:val="32"/>
          <w:szCs w:val="32"/>
          <w:lang w:val="en-US" w:eastAsia="zh-CN"/>
        </w:rPr>
        <w:t>办事处</w:t>
      </w:r>
      <w:r>
        <w:rPr>
          <w:rFonts w:hint="eastAsia" w:ascii="仿宋_GB2312" w:eastAsia="仿宋_GB2312"/>
          <w:sz w:val="32"/>
          <w:szCs w:val="32"/>
        </w:rPr>
        <w:t>加强党建和党风廉政建设，完善队伍建设，加强</w:t>
      </w:r>
      <w:r>
        <w:rPr>
          <w:rFonts w:hint="eastAsia" w:ascii="仿宋_GB2312" w:eastAsia="仿宋_GB2312"/>
          <w:sz w:val="32"/>
          <w:szCs w:val="32"/>
          <w:lang w:val="en-US" w:eastAsia="zh-CN"/>
        </w:rPr>
        <w:t>各项工作调度</w:t>
      </w:r>
      <w:r>
        <w:rPr>
          <w:rFonts w:hint="eastAsia" w:ascii="仿宋_GB2312" w:eastAsia="仿宋_GB2312"/>
          <w:sz w:val="32"/>
          <w:szCs w:val="32"/>
        </w:rPr>
        <w:t>，强化源头治理，狠抓专项整治，有效保障</w:t>
      </w:r>
      <w:r>
        <w:rPr>
          <w:rFonts w:hint="eastAsia" w:ascii="仿宋_GB2312" w:eastAsia="仿宋_GB2312"/>
          <w:sz w:val="32"/>
          <w:szCs w:val="32"/>
          <w:lang w:val="en-US" w:eastAsia="zh-CN"/>
        </w:rPr>
        <w:t>人民安居乐业，社会稳步发展，</w:t>
      </w:r>
      <w:r>
        <w:rPr>
          <w:rFonts w:hint="eastAsia" w:ascii="仿宋_GB2312" w:eastAsia="仿宋_GB2312"/>
          <w:sz w:val="32"/>
          <w:szCs w:val="32"/>
        </w:rPr>
        <w:t>自评得分</w:t>
      </w:r>
      <w:r>
        <w:rPr>
          <w:rFonts w:hint="eastAsia" w:ascii="仿宋_GB2312" w:eastAsia="仿宋_GB2312"/>
          <w:color w:val="auto"/>
          <w:sz w:val="32"/>
          <w:szCs w:val="32"/>
          <w:highlight w:val="none"/>
          <w:lang w:val="en-US" w:eastAsia="zh-CN"/>
        </w:rPr>
        <w:t>97.2</w:t>
      </w:r>
      <w:r>
        <w:rPr>
          <w:rFonts w:hint="eastAsia" w:ascii="仿宋_GB2312" w:eastAsia="仿宋_GB2312"/>
          <w:sz w:val="32"/>
          <w:szCs w:val="32"/>
        </w:rPr>
        <w:t>分。</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（一）基层党建工作</w:t>
      </w:r>
    </w:p>
    <w:p>
      <w:pPr>
        <w:numPr>
          <w:ilvl w:val="0"/>
          <w:numId w:val="0"/>
        </w:numPr>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一是通过“三会一课”、主题党日、“一课一片一实践”活动、召开屋场恳谈会等方式，认真学习习近平新时代中国特色社会主义思想和党的二十大精神，教育引导党员坚决捍卫“两个确立”、树牢“四个意识”、坚定“四个自信”，做到“两个维护”。二是对于基层村社区转移支付资金，不截留挪用，及时支付到位。</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（二）粮食生产工作</w:t>
      </w:r>
    </w:p>
    <w:p>
      <w:pPr>
        <w:numPr>
          <w:ilvl w:val="0"/>
          <w:numId w:val="0"/>
        </w:numPr>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为全面落实市里分配的粮食种植面积，办事处明确了主要领导亲自抓，分管领导具体抓，农业中心负责具体业务指导的工作机制，对粮食生产和治理抛荒工作进行日调度，周总结。半年来，办事处召开了插秧、犁翻、治理抛荒20余次现场会和10余次粮食生产调度会。今年辖区共落实粮食种植面积995亩，其中完成单季稻种植面积655亩、双季稻种植面积340亩；对“非粮化、非农化”进行大力整治，联合自然资源部门对违规开挖山塘进行填平复耕，共填平山塘7口。鼓励农户通过租凭、转包等方式进行土地流转，使土地流转给大户、合作社集中经营，推进规模化种植，机械化种植，标准化种植，共流转土地608.86亩 ；鼓励农民巩固发展水稻、玉米等传统产业外，积极发展种植蔬菜、高粱、油菜等特色产业，今年，辖区内共种植蔬菜350余亩、油菜700余亩、高梁30余亩。</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（三）城乡治理标准化工作</w:t>
      </w:r>
    </w:p>
    <w:p>
      <w:pPr>
        <w:numPr>
          <w:ilvl w:val="0"/>
          <w:numId w:val="0"/>
        </w:numPr>
        <w:spacing w:line="560" w:lineRule="exact"/>
        <w:ind w:firstLine="643" w:firstLineChars="200"/>
        <w:rPr>
          <w:rFonts w:hint="eastAsia" w:ascii="宋体" w:hAnsi="宋体" w:eastAsia="宋体" w:cs="宋体"/>
          <w:b w:val="0"/>
          <w:bCs w:val="0"/>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一是突出宣传引导位置。</w:t>
      </w:r>
      <w:r>
        <w:rPr>
          <w:rFonts w:hint="eastAsia" w:ascii="仿宋_GB2312" w:hAnsi="仿宋_GB2312" w:eastAsia="仿宋_GB2312" w:cs="仿宋_GB2312"/>
          <w:b w:val="0"/>
          <w:bCs w:val="0"/>
          <w:color w:val="auto"/>
          <w:kern w:val="0"/>
          <w:sz w:val="32"/>
          <w:szCs w:val="32"/>
          <w:lang w:val="en-US" w:eastAsia="zh-CN" w:bidi="ar"/>
        </w:rPr>
        <w:t>始终将群众利益摆在首位，把宣传引导摆在突出位置，最大化激发广大群众内生动力。充分利用宣传车、广播、微信群、公众号等宣传途经，多渠道、全方位曝光不良行为、展示整治效果、宣传工作动态，进一步凝聚人心、达成共识，形成共同参与、群整群治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val="0"/>
          <w:bCs w:val="0"/>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二是落实常态化督查工作。</w:t>
      </w:r>
      <w:r>
        <w:rPr>
          <w:rFonts w:hint="eastAsia" w:ascii="仿宋_GB2312" w:hAnsi="仿宋_GB2312" w:eastAsia="仿宋_GB2312" w:cs="仿宋_GB2312"/>
          <w:b w:val="0"/>
          <w:bCs w:val="0"/>
          <w:color w:val="auto"/>
          <w:kern w:val="0"/>
          <w:sz w:val="32"/>
          <w:szCs w:val="32"/>
          <w:lang w:val="en-US" w:eastAsia="zh-CN" w:bidi="ar"/>
        </w:rPr>
        <w:t>对城乡治理标准化工作开展常态化督查，发现问题紧盯不放、追根溯源，督促推动整改落实。通过努力，最终达到以城乡治理标准化的先行先试，带动其他各领域各行业的标准化建设全面铺开，让全街道标准意识不断增强，形成标准生产引领行业、标准生活成为习惯、标准管理全面覆盖的新气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三是科学探索主动求变。</w:t>
      </w:r>
      <w:r>
        <w:rPr>
          <w:rFonts w:hint="eastAsia" w:ascii="仿宋_GB2312" w:hAnsi="仿宋_GB2312" w:eastAsia="仿宋_GB2312" w:cs="仿宋_GB2312"/>
          <w:b w:val="0"/>
          <w:bCs w:val="0"/>
          <w:color w:val="auto"/>
          <w:kern w:val="0"/>
          <w:sz w:val="32"/>
          <w:szCs w:val="32"/>
          <w:lang w:val="en-US" w:eastAsia="zh-CN" w:bidi="ar"/>
        </w:rPr>
        <w:t>在整治过程中积极探索治理的新思想、新方法，充分考虑实际，跟着问题走、奔着问题去，准确识变、科学应变、主动求变，在把握规律的基础上不断放大整治成果。</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（四）河长制工作</w:t>
      </w:r>
    </w:p>
    <w:p>
      <w:pPr>
        <w:numPr>
          <w:ilvl w:val="0"/>
          <w:numId w:val="0"/>
        </w:numPr>
        <w:spacing w:line="560" w:lineRule="exact"/>
        <w:ind w:firstLine="643"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一是加强领导，强化队伍建设。</w:t>
      </w:r>
      <w:r>
        <w:rPr>
          <w:rFonts w:hint="eastAsia" w:ascii="仿宋_GB2312" w:hAnsi="仿宋_GB2312" w:eastAsia="仿宋_GB2312" w:cs="仿宋_GB2312"/>
          <w:b w:val="0"/>
          <w:bCs w:val="0"/>
          <w:color w:val="auto"/>
          <w:kern w:val="0"/>
          <w:sz w:val="32"/>
          <w:szCs w:val="32"/>
          <w:lang w:val="en-US" w:eastAsia="zh-CN" w:bidi="ar"/>
        </w:rPr>
        <w:t>按照省、市的要求，泉峰河长办安排工作人员4人，落实2条河段工作经费3万元。街道党工委明确由分管的负责人欧国军担任河长办公室主任，落实了河长办工作人员3人、专项工作经费、办公场地、水系图、各项制度、所在河流存在问题和治理措施一览表。组建了本级5人河道管理联合执法队伍。各村建立了巡查员、督查员、河道保洁员等河长制“三员”制度。</w:t>
      </w:r>
      <w:r>
        <w:rPr>
          <w:rFonts w:hint="eastAsia" w:ascii="楷体_GB2312" w:hAnsi="楷体_GB2312" w:eastAsia="楷体_GB2312" w:cs="楷体_GB2312"/>
          <w:b/>
          <w:bCs/>
          <w:color w:val="auto"/>
          <w:kern w:val="0"/>
          <w:sz w:val="32"/>
          <w:szCs w:val="32"/>
          <w:lang w:val="en-US" w:eastAsia="zh-CN" w:bidi="ar"/>
        </w:rPr>
        <w:t>二是扎实推进，强化专项整治。</w:t>
      </w:r>
      <w:r>
        <w:rPr>
          <w:rFonts w:hint="eastAsia" w:ascii="仿宋_GB2312" w:hAnsi="仿宋_GB2312" w:eastAsia="仿宋_GB2312" w:cs="仿宋_GB2312"/>
          <w:b w:val="0"/>
          <w:bCs w:val="0"/>
          <w:color w:val="auto"/>
          <w:kern w:val="0"/>
          <w:sz w:val="32"/>
          <w:szCs w:val="32"/>
          <w:lang w:val="en-US" w:eastAsia="zh-CN" w:bidi="ar"/>
        </w:rPr>
        <w:t>今年来，泉峰街道成立由泉峰河长办主任欧国军任组长的“清四乱”专项行动的联合执法工作领导小组，相关部门按照各自职能，相互配合，上下联动，加强对各河段的巡查、执法，开展河流乱占、乱采、乱堆、乱建等突出问题进行清理整治。今年来，本河段共对清理出四乱现象4个, 开展联合整治行动2次，有效维护了本河段安全秩序和专项清理整治成果。二是清理宜水河右岸杂树杂草4.2公里，确保汛期河流畅通。</w:t>
      </w:r>
      <w:r>
        <w:rPr>
          <w:rFonts w:hint="eastAsia" w:ascii="楷体_GB2312" w:hAnsi="楷体_GB2312" w:eastAsia="楷体_GB2312" w:cs="楷体_GB2312"/>
          <w:b/>
          <w:bCs/>
          <w:color w:val="auto"/>
          <w:kern w:val="0"/>
          <w:sz w:val="32"/>
          <w:szCs w:val="32"/>
          <w:lang w:val="en-US" w:eastAsia="zh-CN" w:bidi="ar"/>
        </w:rPr>
        <w:t>三是高位推动，加强河长履职。</w:t>
      </w:r>
      <w:r>
        <w:rPr>
          <w:rFonts w:hint="eastAsia" w:ascii="仿宋_GB2312" w:hAnsi="仿宋_GB2312" w:eastAsia="仿宋_GB2312" w:cs="仿宋_GB2312"/>
          <w:b w:val="0"/>
          <w:bCs w:val="0"/>
          <w:color w:val="auto"/>
          <w:kern w:val="0"/>
          <w:sz w:val="32"/>
          <w:szCs w:val="32"/>
          <w:lang w:val="en-US" w:eastAsia="zh-CN" w:bidi="ar"/>
        </w:rPr>
        <w:t>今年来，泉峰</w:t>
      </w:r>
      <w:r>
        <w:rPr>
          <w:rFonts w:hint="default" w:ascii="仿宋_GB2312" w:hAnsi="仿宋_GB2312" w:eastAsia="仿宋_GB2312" w:cs="仿宋_GB2312"/>
          <w:b w:val="0"/>
          <w:bCs w:val="0"/>
          <w:color w:val="auto"/>
          <w:kern w:val="0"/>
          <w:sz w:val="32"/>
          <w:szCs w:val="32"/>
          <w:lang w:val="en-US" w:eastAsia="zh-CN" w:bidi="ar"/>
        </w:rPr>
        <w:t>办</w:t>
      </w:r>
      <w:r>
        <w:rPr>
          <w:rFonts w:hint="eastAsia" w:ascii="仿宋_GB2312" w:hAnsi="仿宋_GB2312" w:eastAsia="仿宋_GB2312" w:cs="仿宋_GB2312"/>
          <w:b w:val="0"/>
          <w:bCs w:val="0"/>
          <w:color w:val="auto"/>
          <w:kern w:val="0"/>
          <w:sz w:val="32"/>
          <w:szCs w:val="32"/>
          <w:lang w:val="en-US" w:eastAsia="zh-CN" w:bidi="ar"/>
        </w:rPr>
        <w:t>事处、村二级河长高度重视，高位推进，党政主要负责人率先垂范,组织泉峰办事处相关成员单位，按照县级河长“一月一巡”并全部安装APP开展巡河。街道和村两级按要求做到了“一旬一巡和一周一巡”，发现问题立行整治。2023年全年泉峰两级河长巡河289次。今年以来，泉峰河长己召开了6次河长工作会议，河长办主任己召开了4次办公会议。制定了河长制考核方案，按照“一季一督查” 考核要求，开展督查考核4次，并把考核结果纳入对各村、社区的绩效考核，促使河长全面履职。</w:t>
      </w:r>
      <w:r>
        <w:rPr>
          <w:rFonts w:hint="eastAsia" w:ascii="楷体_GB2312" w:hAnsi="楷体_GB2312" w:eastAsia="楷体_GB2312" w:cs="楷体_GB2312"/>
          <w:b/>
          <w:bCs/>
          <w:color w:val="auto"/>
          <w:kern w:val="0"/>
          <w:sz w:val="32"/>
          <w:szCs w:val="32"/>
          <w:lang w:val="en-US" w:eastAsia="zh-CN" w:bidi="ar"/>
        </w:rPr>
        <w:t>四是社会联动,加大宣传力度。</w:t>
      </w:r>
      <w:r>
        <w:rPr>
          <w:rFonts w:hint="eastAsia" w:ascii="仿宋_GB2312" w:hAnsi="仿宋_GB2312" w:eastAsia="仿宋_GB2312" w:cs="仿宋_GB2312"/>
          <w:b w:val="0"/>
          <w:bCs w:val="0"/>
          <w:color w:val="auto"/>
          <w:kern w:val="0"/>
          <w:sz w:val="32"/>
          <w:szCs w:val="32"/>
          <w:lang w:val="en-US" w:eastAsia="zh-CN" w:bidi="ar"/>
        </w:rPr>
        <w:t>泉峰开展河长制“六进”（进机关、进企业、进学校、进社区、进村组、进农户）活动。充分利用报刊、电视广播和网络等手段，对推行河长制进行多角度、全方位进行了宣传，让泉峰上下了解河长制，增强对河道保护的责任意识，共同营造关爱河道、珍惜河道、保护河道的良好氛围。开展大型宣传活动3次。</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（五）田长制工作</w:t>
      </w:r>
    </w:p>
    <w:p>
      <w:pPr>
        <w:widowControl/>
        <w:shd w:val="clear" w:color="auto" w:fill="FFFFFF"/>
        <w:ind w:firstLine="643" w:firstLineChars="200"/>
        <w:jc w:val="left"/>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bCs/>
          <w:color w:val="auto"/>
          <w:kern w:val="0"/>
          <w:sz w:val="32"/>
          <w:szCs w:val="32"/>
          <w:lang w:val="en-US" w:eastAsia="zh-CN" w:bidi="ar"/>
        </w:rPr>
        <w:t>一是确保耕地数量不减少和粮食播种面积稳定。</w:t>
      </w:r>
      <w:r>
        <w:rPr>
          <w:rFonts w:hint="eastAsia" w:ascii="仿宋_GB2312" w:hAnsi="仿宋_GB2312" w:eastAsia="仿宋_GB2312" w:cs="仿宋_GB2312"/>
          <w:b w:val="0"/>
          <w:bCs w:val="0"/>
          <w:color w:val="auto"/>
          <w:kern w:val="0"/>
          <w:sz w:val="32"/>
          <w:szCs w:val="32"/>
          <w:lang w:val="en-US" w:eastAsia="zh-CN" w:bidi="ar"/>
        </w:rPr>
        <w:t>分解耕地保有量和永久基本农田保护目标任务，压紧压实耕地保护责任，作为刚性指标实行严格考核、终身追责。加强耕地抛荒调查监测和系统治理，不断提高粮食综合生产能力。按计划落实新增耕地、高标准农田建设、恢复耕地年度任务。对新增建设用地占用耕地规模实行总量控制，建设项目占用耕地必须落实“先补后占、占优补优”。</w:t>
      </w:r>
      <w:r>
        <w:rPr>
          <w:rFonts w:hint="eastAsia" w:ascii="楷体_GB2312" w:hAnsi="楷体_GB2312" w:eastAsia="楷体_GB2312" w:cs="楷体_GB2312"/>
          <w:b/>
          <w:bCs/>
          <w:color w:val="auto"/>
          <w:kern w:val="0"/>
          <w:sz w:val="32"/>
          <w:szCs w:val="32"/>
          <w:lang w:val="en-US" w:eastAsia="zh-CN" w:bidi="ar"/>
        </w:rPr>
        <w:t>二是强化耕地“一张图”管控。</w:t>
      </w:r>
      <w:r>
        <w:rPr>
          <w:rFonts w:hint="eastAsia" w:ascii="仿宋_GB2312" w:hAnsi="仿宋_GB2312" w:eastAsia="仿宋_GB2312" w:cs="仿宋_GB2312"/>
          <w:b w:val="0"/>
          <w:bCs w:val="0"/>
          <w:color w:val="auto"/>
          <w:kern w:val="0"/>
          <w:sz w:val="32"/>
          <w:szCs w:val="32"/>
          <w:lang w:val="en-US" w:eastAsia="zh-CN" w:bidi="ar"/>
        </w:rPr>
        <w:t>按照耕地和永久基本农田、生态保护红线、城镇开发边界的顺序，统筹划定落实三条控制线。</w:t>
      </w:r>
      <w:r>
        <w:rPr>
          <w:rFonts w:hint="eastAsia" w:ascii="楷体_GB2312" w:hAnsi="楷体_GB2312" w:eastAsia="楷体_GB2312" w:cs="楷体_GB2312"/>
          <w:b/>
          <w:bCs/>
          <w:color w:val="auto"/>
          <w:kern w:val="0"/>
          <w:sz w:val="32"/>
          <w:szCs w:val="32"/>
          <w:lang w:val="en-US" w:eastAsia="zh-CN" w:bidi="ar"/>
        </w:rPr>
        <w:t>三是加快推进村庄规划工作。</w:t>
      </w:r>
      <w:r>
        <w:rPr>
          <w:rFonts w:hint="eastAsia" w:ascii="仿宋_GB2312" w:hAnsi="仿宋_GB2312" w:eastAsia="仿宋_GB2312" w:cs="仿宋_GB2312"/>
          <w:b w:val="0"/>
          <w:bCs w:val="0"/>
          <w:color w:val="auto"/>
          <w:kern w:val="0"/>
          <w:sz w:val="32"/>
          <w:szCs w:val="32"/>
          <w:lang w:val="en-US" w:eastAsia="zh-CN" w:bidi="ar"/>
        </w:rPr>
        <w:t>积极有序推进“多规合一”村庄规划编制，对有条件、有需求的村庄尽快实现村庄规划全覆盖。农村村民住宅依照村庄规划及用途管制，坚持节约集约原则，在符合一户一宅标准的情况下，合理选址，避免占用耕地。</w:t>
      </w:r>
      <w:r>
        <w:rPr>
          <w:rFonts w:hint="eastAsia" w:ascii="楷体_GB2312" w:hAnsi="楷体_GB2312" w:eastAsia="楷体_GB2312" w:cs="楷体_GB2312"/>
          <w:b/>
          <w:bCs/>
          <w:color w:val="auto"/>
          <w:kern w:val="0"/>
          <w:sz w:val="32"/>
          <w:szCs w:val="32"/>
          <w:lang w:val="en-US" w:eastAsia="zh-CN" w:bidi="ar"/>
        </w:rPr>
        <w:t>四是扎实推进耕地质量提升。</w:t>
      </w:r>
      <w:r>
        <w:rPr>
          <w:rFonts w:hint="eastAsia" w:ascii="仿宋_GB2312" w:hAnsi="仿宋_GB2312" w:eastAsia="仿宋_GB2312" w:cs="仿宋_GB2312"/>
          <w:b w:val="0"/>
          <w:bCs w:val="0"/>
          <w:color w:val="auto"/>
          <w:kern w:val="0"/>
          <w:sz w:val="32"/>
          <w:szCs w:val="32"/>
          <w:lang w:val="en-US" w:eastAsia="zh-CN" w:bidi="ar"/>
        </w:rPr>
        <w:t>强化耕地质量监测监管，稳步开展耕地质量等级调查评价。推广保护性耕作模式，全面提升耕地质量和农田生态保护水平。加大中低产田改造力度，提升耕地地力等级。</w:t>
      </w:r>
      <w:r>
        <w:rPr>
          <w:rFonts w:hint="eastAsia" w:ascii="楷体_GB2312" w:hAnsi="楷体_GB2312" w:eastAsia="楷体_GB2312" w:cs="楷体_GB2312"/>
          <w:b/>
          <w:bCs/>
          <w:color w:val="auto"/>
          <w:kern w:val="0"/>
          <w:sz w:val="32"/>
          <w:szCs w:val="32"/>
          <w:lang w:val="en-US" w:eastAsia="zh-CN" w:bidi="ar"/>
        </w:rPr>
        <w:t>五是遏制耕地“非农化”、防止“非粮化”。</w:t>
      </w:r>
      <w:r>
        <w:rPr>
          <w:rFonts w:hint="eastAsia" w:ascii="仿宋_GB2312" w:hAnsi="仿宋_GB2312" w:eastAsia="仿宋_GB2312" w:cs="仿宋_GB2312"/>
          <w:b w:val="0"/>
          <w:bCs w:val="0"/>
          <w:color w:val="auto"/>
          <w:kern w:val="0"/>
          <w:sz w:val="32"/>
          <w:szCs w:val="32"/>
          <w:lang w:val="en-US" w:eastAsia="zh-CN" w:bidi="ar"/>
        </w:rPr>
        <w:t>严格落实制止耕地“非农化”“六个严禁”要求、永久基本农田保护“五个不准”。完善耕地用途管制制度，分类明确耕地用途，严格落实耕地利用优先序。禁止占用永久基本农田发展林果业和挖塘养鱼。引导新发展林果业上山上坡，鼓励利用“四荒”资源。严格管控耕地转为其他农用地，对一般耕地转为其他农用地及农业设施建设用地实行年度“进出平衡”。制定方案积极稳妥推进耕地恢复工作，完成上级下达的恢复任务。</w:t>
      </w:r>
      <w:r>
        <w:rPr>
          <w:rFonts w:hint="eastAsia" w:ascii="楷体_GB2312" w:hAnsi="楷体_GB2312" w:eastAsia="楷体_GB2312" w:cs="楷体_GB2312"/>
          <w:b/>
          <w:bCs/>
          <w:color w:val="auto"/>
          <w:kern w:val="0"/>
          <w:sz w:val="32"/>
          <w:szCs w:val="32"/>
          <w:lang w:val="en-US" w:eastAsia="zh-CN" w:bidi="ar"/>
        </w:rPr>
        <w:t>六是严格规范新增耕地开发管护。</w:t>
      </w:r>
      <w:r>
        <w:rPr>
          <w:rFonts w:hint="eastAsia" w:ascii="仿宋_GB2312" w:hAnsi="仿宋_GB2312" w:eastAsia="仿宋_GB2312" w:cs="仿宋_GB2312"/>
          <w:b w:val="0"/>
          <w:bCs w:val="0"/>
          <w:color w:val="auto"/>
          <w:kern w:val="0"/>
          <w:sz w:val="32"/>
          <w:szCs w:val="32"/>
          <w:lang w:val="en-US" w:eastAsia="zh-CN" w:bidi="ar"/>
        </w:rPr>
        <w:t>严格执行耕地占补平衡制度，确保现有耕地一亩不少，新增耕地一亩不假，乱占耕地一亩不让。建立耕地后备资源和标注恢复属性地类数据库，实行单独管理。明确管护主体、延长管护期限、严格管护要求、提高管护标准，明确耕种责任人，落实新增耕地耕种补助及工程设施管护费用。鼓励国有企业、社会主体集中开发、种植、管护新增耕地，确保新增耕地“有人种、不抛荒、不乱种”。</w:t>
      </w:r>
      <w:r>
        <w:rPr>
          <w:rFonts w:hint="eastAsia" w:ascii="楷体_GB2312" w:hAnsi="楷体_GB2312" w:eastAsia="楷体_GB2312" w:cs="楷体_GB2312"/>
          <w:b/>
          <w:bCs/>
          <w:color w:val="auto"/>
          <w:kern w:val="0"/>
          <w:sz w:val="32"/>
          <w:szCs w:val="32"/>
          <w:lang w:val="en-US" w:eastAsia="zh-CN" w:bidi="ar"/>
        </w:rPr>
        <w:t>七是严肃查处违法乱占耕地行为。</w:t>
      </w:r>
      <w:r>
        <w:rPr>
          <w:rFonts w:hint="eastAsia" w:ascii="仿宋_GB2312" w:hAnsi="仿宋_GB2312" w:eastAsia="仿宋_GB2312" w:cs="仿宋_GB2312"/>
          <w:b w:val="0"/>
          <w:bCs w:val="0"/>
          <w:color w:val="auto"/>
          <w:kern w:val="0"/>
          <w:sz w:val="32"/>
          <w:szCs w:val="32"/>
          <w:lang w:val="en-US" w:eastAsia="zh-CN" w:bidi="ar"/>
        </w:rPr>
        <w:t>加大耕地督察执法，坚决执行违法占用耕地“零容忍”。加强违法用地动态巡查，建立耕地黄、橙、红警示机制；实行“田长+督察长”协作机制，严肃查处违法乱占耕地行为和失职渎职行为，对违法占用毁坏耕地的行为，依法启动生态环境损害赔偿程序。对年度内本行政区域违法占用耕地面积占新增建设用地占用耕地总面积的比例达到 15%以上或者虽然未达到15%，但造成其他严重后果的，或新增耕地不实面积占申请确认面积达到15%以上的，或新增耕地自省自然资源厅确认指标之日起3年内抛荒、改为非耕地面积达到30%以上的，依法依规对相关责任人严肃问责。将耕地保护纳入街道综合执法重要内容，深入开展农村乱占耕地建房和违法违规占用永久基本农田植树造林、挖塘养鱼、挖湖造景等专项整治。巩固“大棚房”问题专项清理整治成果。</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林长制工作</w:t>
      </w:r>
    </w:p>
    <w:p>
      <w:pPr>
        <w:widowControl/>
        <w:shd w:val="clear" w:color="auto" w:fill="FFFFFF"/>
        <w:ind w:firstLine="643" w:firstLineChars="200"/>
        <w:jc w:val="left"/>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一是全面加强生态保护。</w:t>
      </w:r>
      <w:r>
        <w:rPr>
          <w:rFonts w:hint="eastAsia" w:ascii="仿宋_GB2312" w:hAnsi="仿宋_GB2312" w:eastAsia="仿宋_GB2312" w:cs="仿宋_GB2312"/>
          <w:b w:val="0"/>
          <w:bCs w:val="0"/>
          <w:color w:val="auto"/>
          <w:kern w:val="0"/>
          <w:sz w:val="32"/>
          <w:szCs w:val="32"/>
          <w:lang w:val="en-US" w:eastAsia="zh-CN" w:bidi="ar"/>
        </w:rPr>
        <w:t>严格森林资源保护管理，科学编制林地保护利用规划，严格控制林地湿地转为建设用地，禁止毁林毁湿开垦，开展森林湿地督查、林地保护专项行动。</w:t>
      </w:r>
      <w:r>
        <w:rPr>
          <w:rFonts w:hint="eastAsia" w:ascii="楷体_GB2312" w:hAnsi="楷体_GB2312" w:eastAsia="楷体_GB2312" w:cs="楷体_GB2312"/>
          <w:b/>
          <w:bCs/>
          <w:color w:val="auto"/>
          <w:kern w:val="0"/>
          <w:sz w:val="32"/>
          <w:szCs w:val="32"/>
          <w:lang w:val="en-US" w:eastAsia="zh-CN" w:bidi="ar"/>
        </w:rPr>
        <w:t>二是加快实施生态提质。</w:t>
      </w:r>
      <w:r>
        <w:rPr>
          <w:rFonts w:hint="eastAsia" w:ascii="仿宋_GB2312" w:hAnsi="仿宋_GB2312" w:eastAsia="仿宋_GB2312" w:cs="仿宋_GB2312"/>
          <w:b w:val="0"/>
          <w:bCs w:val="0"/>
          <w:color w:val="auto"/>
          <w:kern w:val="0"/>
          <w:sz w:val="32"/>
          <w:szCs w:val="32"/>
          <w:lang w:val="en-US" w:eastAsia="zh-CN" w:bidi="ar"/>
        </w:rPr>
        <w:t>加强规划引领，优化资源配置，强化质量监管，完善政策机制，统筹考虑生态合理性和经济可行性，数量和质量并重，节俭务实开展国土绿化。合理布局绿化空间，以自然恢复为主，人工修复与自然恢复相结合。充分考虑水资源承载能力，因地制宜，宜乔则乔，宜灌则灌、宜草则草，构建健康稳定的生态系统。以宜林荒山荒地荒滩、荒废和受损山体，退化林地湿地等为主开展绿化、制定乡土树种草种名录，积极采用乡土树种草种进行绿化，提倡使用多样化树种营造混交林。推进村庄绿化美化建设，以乡村公共绿地建设和“四旁”(宅旁、路旁、田旁、水旁)造林绿化为重点，营造风景林、水源涵养林，提高村庄绿化率，优化农村人居环境、鼓励引导农民利用房屋周边空闲土地，栽培珍贵树种或经济林木进行绿化美化，依托山水生态、田园风光、传统村落、民俗文化等，建成一批特色鲜明、环境优美、富裕和谐的绿色生态乡村、以改善城市生态环境、增加城市森林面积、提升城市森林质量、增加城市居民游想空间为目标创建省级森林城市。2021年启动国家森林城市建设，制订生态廊道建设规划，以“增绿、添色、造景”为目标，打造山系、水系、路系生态廊道，到2025年，全市规划建设生态廊道 15 万亩，大力推进义务植树主题化、基地化、常态化，积极开展认种认养、设施修建、捐资捐物、志愿服务等多种形式的植绿、爱绿、护绿活动，切实提高全民义务植树尽责率。</w:t>
      </w:r>
      <w:r>
        <w:rPr>
          <w:rFonts w:hint="eastAsia" w:ascii="楷体_GB2312" w:hAnsi="楷体_GB2312" w:eastAsia="楷体_GB2312" w:cs="楷体_GB2312"/>
          <w:b/>
          <w:bCs/>
          <w:color w:val="auto"/>
          <w:kern w:val="0"/>
          <w:sz w:val="32"/>
          <w:szCs w:val="32"/>
          <w:lang w:val="en-US" w:eastAsia="zh-CN" w:bidi="ar"/>
        </w:rPr>
        <w:t>三是深化管理体制改革。</w:t>
      </w:r>
      <w:r>
        <w:rPr>
          <w:rFonts w:hint="eastAsia" w:ascii="仿宋_GB2312" w:hAnsi="仿宋_GB2312" w:eastAsia="仿宋_GB2312" w:cs="仿宋_GB2312"/>
          <w:b w:val="0"/>
          <w:bCs w:val="0"/>
          <w:color w:val="auto"/>
          <w:kern w:val="0"/>
          <w:sz w:val="32"/>
          <w:szCs w:val="32"/>
          <w:lang w:val="en-US" w:eastAsia="zh-CN" w:bidi="ar"/>
        </w:rPr>
        <w:t>落实林地所有权、承包权、经营权“三权分置”，推进林地经营权流转，推动金融资本进入林业发展，开展林权收储担保业务，完善政策性森林保险，创新森林保险产品，建立风险防控机制。加强林业碳汇研究和项目储备，对接碳汇市场，探索林业碳汇交易模式，不断提高生态系统碳汇能力。扎实推进国有林场森林经营、基础设施建设，建设一批秀美林场和现代示范林场。整合优化各类护林员队伍，加快构建全市森林资源网格化、全覆盖管理体系.以行政村为单位选聘专职护林员，由乡镇统一管理。逐地逐片落实管护主体。</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（七）乡村振兴工作</w:t>
      </w:r>
    </w:p>
    <w:p>
      <w:pPr>
        <w:widowControl/>
        <w:shd w:val="clear" w:color="auto" w:fill="FFFFFF"/>
        <w:ind w:firstLine="643" w:firstLineChars="200"/>
        <w:jc w:val="left"/>
        <w:rPr>
          <w:rFonts w:hint="eastAsia" w:ascii="宋体" w:hAnsi="宋体" w:eastAsia="宋体" w:cs="宋体"/>
          <w:b w:val="0"/>
          <w:bCs w:val="0"/>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1、抓队伍建设压实责任，解决“谁来扶”的问题。</w:t>
      </w:r>
      <w:r>
        <w:rPr>
          <w:rFonts w:hint="eastAsia" w:ascii="仿宋_GB2312" w:hAnsi="仿宋_GB2312" w:eastAsia="仿宋_GB2312" w:cs="仿宋_GB2312"/>
          <w:b w:val="0"/>
          <w:bCs w:val="0"/>
          <w:color w:val="auto"/>
          <w:kern w:val="0"/>
          <w:sz w:val="32"/>
          <w:szCs w:val="32"/>
          <w:lang w:val="en-US" w:eastAsia="zh-CN" w:bidi="ar"/>
        </w:rPr>
        <w:t>一是抓好班子成员，打造乡村振兴“督战员”。建立了党政一把手负总责、党工委副书记具体管、其他班子成员联点的帮扶工作责任制。半年来，全体班子成员能及时掌握帮扶动态情况，切实做到底子清、数据准、思路明，对所联的村和脱贫，监测对象存在帮扶问题，能亲自协调、亲自解决。二是抓好帮扶责任人，打造攻坚“战斗员”。建立了对帮扶责任人工作落实、责任落实考核机制。我街道始终坚持一帮一的结对帮扶模式，坚决因人因户制定切实可行的帮扶措施。全体帮扶责任人能严格按照结对帮扶.结对联系要求开展工作，每月走访监测户.每季度走访脱贫户对象均未少于1次，能及时对乡村振兴政策宣讲到位、需求解决到位、帮扶措施落实到位、结对手册与联系手册均填写到位，切实起到“战斗员堡垒”作用。</w:t>
      </w:r>
    </w:p>
    <w:p>
      <w:pPr>
        <w:widowControl/>
        <w:shd w:val="clear" w:color="auto" w:fill="FFFFFF"/>
        <w:ind w:firstLine="643" w:firstLineChars="200"/>
        <w:jc w:val="left"/>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2、优化工作方式，推动工作落实。</w:t>
      </w:r>
      <w:r>
        <w:rPr>
          <w:rFonts w:hint="eastAsia" w:ascii="仿宋_GB2312" w:hAnsi="仿宋_GB2312" w:eastAsia="仿宋_GB2312" w:cs="仿宋_GB2312"/>
          <w:b w:val="0"/>
          <w:bCs w:val="0"/>
          <w:color w:val="auto"/>
          <w:kern w:val="0"/>
          <w:sz w:val="32"/>
          <w:szCs w:val="32"/>
          <w:lang w:val="en-US" w:eastAsia="zh-CN" w:bidi="ar"/>
        </w:rPr>
        <w:t>一是切实加强防止返贫监测帮扶工作，按照防止返贫精准实施的工作要求，全面排查，确保应扶尽扶。街道于5月19日下达2023年防止返贫监测帮扶集中排查工作方案。因人因户制定了切实可行的帮扶计划，指定了结对帮扶责任人，落实了开发式帮扶措施，对符合条件的无劳动能力监测户做好了兜底保障。在做好实地排查的基础上，进一步加强信息数据应用分析，着力数据质量，数据录入及时准确。二是牢固树立“小厕所，大民生”理念，街道坚持问题导向，目标导向，对街道所有的农户户用厕所情况进行再一次全面摸底排查，坚持进村入户排查，切实提高改厕质量和实效。严格按照习近平总书记“数量服从质量、进度服从实效、求好不求快”的总体要求，坚持“厕所能用好用、群众同意满意”方针，真正做到“改一户、成一户、用一户”。三是对稍显落后村社区，投入资金，修建道路，方便人民工作生活。</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（八）安全生产工作</w:t>
      </w:r>
    </w:p>
    <w:p>
      <w:pPr>
        <w:numPr>
          <w:ilvl w:val="0"/>
          <w:numId w:val="0"/>
        </w:numPr>
        <w:spacing w:line="560" w:lineRule="exact"/>
        <w:ind w:firstLine="643"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一是认真组织领导，细化安全生产责任。</w:t>
      </w:r>
      <w:r>
        <w:rPr>
          <w:rFonts w:hint="eastAsia" w:ascii="仿宋_GB2312" w:hAnsi="仿宋_GB2312" w:eastAsia="仿宋_GB2312" w:cs="仿宋_GB2312"/>
          <w:b w:val="0"/>
          <w:bCs w:val="0"/>
          <w:color w:val="auto"/>
          <w:kern w:val="0"/>
          <w:sz w:val="32"/>
          <w:szCs w:val="32"/>
          <w:lang w:val="en-US" w:eastAsia="zh-CN" w:bidi="ar"/>
        </w:rPr>
        <w:t xml:space="preserve">党政联席会议研究制定了“党政同责，一岗双责”责任清单和安全生产工作任务清单。制定了《2023年安全生产工作方案》、《安全生产“翻身仗”工作计划》、《重大安全隐患的排查与整治专项行动方案》，将安全生产纳入全年考核，与村（社区）签定安全生产责任状，与企业全面签定安全生产承诺书，明确工作职责和任务，坚持“五全一常态”的工作机制，坚持安全生产党政负责人联席季度例会和月调度会议制度，督促使安全责任层层落实，不断完善的安全生产管理网络和机制。 </w:t>
      </w:r>
      <w:r>
        <w:rPr>
          <w:rFonts w:hint="eastAsia" w:ascii="楷体_GB2312" w:hAnsi="楷体_GB2312" w:eastAsia="楷体_GB2312" w:cs="楷体_GB2312"/>
          <w:b/>
          <w:bCs/>
          <w:color w:val="auto"/>
          <w:kern w:val="0"/>
          <w:sz w:val="32"/>
          <w:szCs w:val="32"/>
          <w:lang w:val="en-US" w:eastAsia="zh-CN" w:bidi="ar"/>
        </w:rPr>
        <w:t>二是强化安全生产检查，抓实隐患整治工作。</w:t>
      </w:r>
      <w:r>
        <w:rPr>
          <w:rFonts w:hint="eastAsia" w:ascii="仿宋_GB2312" w:hAnsi="仿宋_GB2312" w:eastAsia="仿宋_GB2312" w:cs="仿宋_GB2312"/>
          <w:b w:val="0"/>
          <w:bCs w:val="0"/>
          <w:color w:val="auto"/>
          <w:kern w:val="0"/>
          <w:sz w:val="32"/>
          <w:szCs w:val="32"/>
          <w:lang w:val="en-US" w:eastAsia="zh-CN" w:bidi="ar"/>
        </w:rPr>
        <w:t>坚持党政负责人“四不两直”检查制度，开展消防、房屋与建筑、医养机构、“九小场所”、餐饮场所燃气安全隐患的排查与专项整治行动。全面开展常态化、经常性的安全生产检查、巡查，隐患排查，针对安全隐患的排查、整改街道安委会召开专题会议12次。联合交警队、市场监督局、城市执法局开展为期20天的南门马路市场交通顽瘴痼疾整治行动。联合教育局、中心学校开展了校园安全值守。联合住建局、市场监督局开展执法8次，拆除危房4栋，工程措施整改安全隐患自建房1073栋，尚有两栋房屋与一处地质灾害点正在整改。开展打非治违行动31次。联合消防救援大队执法5次，查封不具备消防安全条件作坊2个。完善了“防溺水”、“森林防火”机制，全面实施台账管理和整改责任清单交办制度。共排查出各类安全隐患并纳入清单管理51处，有效整改各类安全隐患622余处，消除市安委会交办隐患2起。排查出重大安全隐患5处，“一单四制”整改销号4处，尚有天堂日丽护坡一处正在整改中。</w:t>
      </w:r>
      <w:r>
        <w:rPr>
          <w:rFonts w:hint="eastAsia" w:ascii="楷体_GB2312" w:hAnsi="楷体_GB2312" w:eastAsia="楷体_GB2312" w:cs="楷体_GB2312"/>
          <w:b/>
          <w:bCs/>
          <w:color w:val="auto"/>
          <w:kern w:val="0"/>
          <w:sz w:val="32"/>
          <w:szCs w:val="32"/>
          <w:lang w:val="en-US" w:eastAsia="zh-CN" w:bidi="ar"/>
        </w:rPr>
        <w:t>三是狠抓宣传教育，筑牢安全生产防线。</w:t>
      </w:r>
      <w:r>
        <w:rPr>
          <w:rFonts w:hint="eastAsia" w:ascii="仿宋_GB2312" w:hAnsi="仿宋_GB2312" w:eastAsia="仿宋_GB2312" w:cs="仿宋_GB2312"/>
          <w:b w:val="0"/>
          <w:bCs w:val="0"/>
          <w:color w:val="auto"/>
          <w:kern w:val="0"/>
          <w:sz w:val="32"/>
          <w:szCs w:val="32"/>
          <w:lang w:val="en-US" w:eastAsia="zh-CN" w:bidi="ar"/>
        </w:rPr>
        <w:t>全年，办事处组织了应急演练2次，消防培训3次，安全生产培训3次。安全生产月组织了学校、医院、企业、个体工商户等参加的集中宣讲，党工委书记、办事处主任上公开课。参加了市里统一组织的安全生产咨询活动。开展了安全生产“五进”宣传，在学校上安全生产法制课6场次，发放企业安全生产公开信300份，安全月宣传册1000份，森林防火公开信1000份、防溺水公开信1000份，召开屋场恳谈会宣传安全生产知识达200场次以上，建立健全了安全生产村规民约，通过多形的宣传，强化安全意识，构筑思想防线。</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（九）禁毒工作</w:t>
      </w:r>
    </w:p>
    <w:p>
      <w:pPr>
        <w:numPr>
          <w:ilvl w:val="0"/>
          <w:numId w:val="0"/>
        </w:numPr>
        <w:spacing w:line="560" w:lineRule="exact"/>
        <w:ind w:firstLine="640" w:firstLineChars="200"/>
        <w:rPr>
          <w:rFonts w:hint="eastAsia" w:ascii="宋体" w:hAnsi="宋体" w:eastAsia="宋体"/>
          <w:color w:val="00000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办事处坚决把打赢新时代禁毒人民战争作为重要的政治任务，深入开展了“毒情大排查”“三清一收”“平安关爱”等系列专项行动，取得禁毒工作的新成果，2019年被评为“衡阳市社区戒毒（康复）示范点”，2021年被评为“衡阳市禁毒工作示范乡镇“街道”。我们主要抓好四个方面的工作：</w:t>
      </w:r>
      <w:r>
        <w:rPr>
          <w:rFonts w:hint="eastAsia" w:ascii="楷体_GB2312" w:hAnsi="楷体_GB2312" w:eastAsia="楷体_GB2312" w:cs="楷体_GB2312"/>
          <w:b/>
          <w:bCs/>
          <w:color w:val="auto"/>
          <w:kern w:val="0"/>
          <w:sz w:val="32"/>
          <w:szCs w:val="32"/>
          <w:lang w:val="en-US" w:eastAsia="zh-CN" w:bidi="ar"/>
        </w:rPr>
        <w:t>一是摸清底数。</w:t>
      </w:r>
      <w:r>
        <w:rPr>
          <w:rFonts w:hint="eastAsia" w:ascii="仿宋_GB2312" w:hAnsi="仿宋_GB2312" w:eastAsia="仿宋_GB2312" w:cs="仿宋_GB2312"/>
          <w:b w:val="0"/>
          <w:bCs w:val="0"/>
          <w:color w:val="auto"/>
          <w:kern w:val="0"/>
          <w:sz w:val="32"/>
          <w:szCs w:val="32"/>
          <w:lang w:val="en-US" w:eastAsia="zh-CN" w:bidi="ar"/>
        </w:rPr>
        <w:t>经毒情大排查和公安数据核查核对，街道现有登记在册吸毒人员561人，其中社区戒毒人员13人，社区康复人员51人，社会面吸毒史人员58人。目前全街道实行强制隔离戒毒20人，吸毒史服刑人员20人，死亡人数9人，戒断三年未发现复吸人数100人，戒断五年以上未发现复吸人数185人，戒断十年以上未发现人数93人。辖区内目前无高风险吸毒人员。</w:t>
      </w:r>
      <w:r>
        <w:rPr>
          <w:rFonts w:hint="eastAsia" w:ascii="楷体_GB2312" w:hAnsi="楷体_GB2312" w:eastAsia="楷体_GB2312" w:cs="楷体_GB2312"/>
          <w:b/>
          <w:bCs/>
          <w:color w:val="auto"/>
          <w:kern w:val="0"/>
          <w:sz w:val="32"/>
          <w:szCs w:val="32"/>
          <w:lang w:val="en-US" w:eastAsia="zh-CN" w:bidi="ar"/>
        </w:rPr>
        <w:t>二是精准管控。</w:t>
      </w:r>
      <w:r>
        <w:rPr>
          <w:rFonts w:hint="eastAsia" w:ascii="仿宋_GB2312" w:hAnsi="仿宋_GB2312" w:eastAsia="仿宋_GB2312" w:cs="仿宋_GB2312"/>
          <w:b w:val="0"/>
          <w:bCs w:val="0"/>
          <w:color w:val="auto"/>
          <w:kern w:val="0"/>
          <w:sz w:val="32"/>
          <w:szCs w:val="32"/>
          <w:lang w:val="en-US" w:eastAsia="zh-CN" w:bidi="ar"/>
        </w:rPr>
        <w:t>组织司法、公安、禁毒办、民政、综治、社区医院及各村（社区）组建风险评估工作专班，对全部涉毒人员实行“一人一档”标准化建档管理。</w:t>
      </w:r>
      <w:r>
        <w:rPr>
          <w:rFonts w:hint="eastAsia" w:ascii="楷体_GB2312" w:hAnsi="楷体_GB2312" w:eastAsia="楷体_GB2312" w:cs="楷体_GB2312"/>
          <w:b/>
          <w:bCs/>
          <w:color w:val="auto"/>
          <w:kern w:val="0"/>
          <w:sz w:val="32"/>
          <w:szCs w:val="32"/>
          <w:lang w:val="en-US" w:eastAsia="zh-CN" w:bidi="ar"/>
        </w:rPr>
        <w:t>三是抓好帮教。</w:t>
      </w:r>
      <w:r>
        <w:rPr>
          <w:rFonts w:hint="eastAsia" w:ascii="仿宋_GB2312" w:hAnsi="仿宋_GB2312" w:eastAsia="仿宋_GB2312" w:cs="仿宋_GB2312"/>
          <w:b w:val="0"/>
          <w:bCs w:val="0"/>
          <w:color w:val="auto"/>
          <w:kern w:val="0"/>
          <w:sz w:val="32"/>
          <w:szCs w:val="32"/>
          <w:lang w:val="en-US" w:eastAsia="zh-CN" w:bidi="ar"/>
        </w:rPr>
        <w:t>对社戒社康人员按规定实行毒品检测，其他重点管控对象实行每月抽检，帮助吸毒人员彻底戒断毒品。</w:t>
      </w:r>
      <w:r>
        <w:rPr>
          <w:rFonts w:hint="eastAsia" w:ascii="楷体_GB2312" w:hAnsi="楷体_GB2312" w:eastAsia="楷体_GB2312" w:cs="楷体_GB2312"/>
          <w:b/>
          <w:bCs/>
          <w:color w:val="auto"/>
          <w:kern w:val="0"/>
          <w:sz w:val="32"/>
          <w:szCs w:val="32"/>
          <w:lang w:val="en-US" w:eastAsia="zh-CN" w:bidi="ar"/>
        </w:rPr>
        <w:t>四是宣传预防。</w:t>
      </w:r>
      <w:r>
        <w:rPr>
          <w:rFonts w:hint="eastAsia" w:ascii="仿宋_GB2312" w:hAnsi="仿宋_GB2312" w:eastAsia="仿宋_GB2312" w:cs="仿宋_GB2312"/>
          <w:b w:val="0"/>
          <w:bCs w:val="0"/>
          <w:color w:val="auto"/>
          <w:kern w:val="0"/>
          <w:sz w:val="32"/>
          <w:szCs w:val="32"/>
          <w:lang w:val="en-US" w:eastAsia="zh-CN" w:bidi="ar"/>
        </w:rPr>
        <w:t>积极进社区、进学校、进单位、进场所、进农村、进家庭开展禁毒宣讲，尤其是对娱乐场所、宾馆、网吧等开展全方位宣讲活动，营造全社会参与禁毒的浓厚氛围，今年还列支20万元用于打造禁毒进小区，建设东宜社区万隆小区宣传教育基地。</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（十）反电诈工作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theme="minorBidi"/>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一是压实工作责任。</w:t>
      </w:r>
      <w:r>
        <w:rPr>
          <w:rFonts w:hint="eastAsia" w:ascii="仿宋_GB2312" w:hAnsi="仿宋_GB2312" w:eastAsia="仿宋_GB2312" w:cs="仿宋_GB2312"/>
          <w:b w:val="0"/>
          <w:bCs w:val="0"/>
          <w:color w:val="auto"/>
          <w:kern w:val="0"/>
          <w:sz w:val="32"/>
          <w:szCs w:val="32"/>
          <w:lang w:val="en-US" w:eastAsia="zh-CN" w:bidi="ar"/>
        </w:rPr>
        <w:t>对重点人员管控，落实“五包一”包保责任制度，村社区每月进行回访，如有包案对象重新返回境外，包案村社区干部就地免职，并约谈村社区党组织书记与副书记。将反诈指标纳入年度目标考核，只要有1例窝点对象没有在规定时间内劝返，就取消责任人当年评奖评优。对窝点对象劝返工作与联点干部绩效工资和评先评优挂钩。对劝返工作量大，窝点对象定期不回的村社区书记实行停止专抓。</w:t>
      </w:r>
      <w:r>
        <w:rPr>
          <w:rFonts w:hint="eastAsia" w:ascii="楷体_GB2312" w:hAnsi="楷体_GB2312" w:eastAsia="楷体_GB2312" w:cs="楷体_GB2312"/>
          <w:b/>
          <w:bCs/>
          <w:color w:val="auto"/>
          <w:kern w:val="0"/>
          <w:sz w:val="32"/>
          <w:szCs w:val="32"/>
          <w:lang w:val="en-US" w:eastAsia="zh-CN" w:bidi="ar"/>
        </w:rPr>
        <w:t>二是加大管控力度。</w:t>
      </w:r>
      <w:r>
        <w:rPr>
          <w:rFonts w:hint="eastAsia" w:ascii="仿宋_GB2312" w:hAnsi="仿宋_GB2312" w:eastAsia="仿宋_GB2312" w:cs="仿宋_GB2312"/>
          <w:b w:val="0"/>
          <w:bCs w:val="0"/>
          <w:color w:val="auto"/>
          <w:kern w:val="0"/>
          <w:sz w:val="32"/>
          <w:szCs w:val="32"/>
          <w:lang w:val="en-US" w:eastAsia="zh-CN" w:bidi="ar"/>
        </w:rPr>
        <w:t>2023年，泉峰所电信诈骗共计立案6起，破案6起，其中抓获8人，刑事拘留7人。对涉及电信诈骗窝点对象、拦截对象、缅北回流三类人员进行全面排查，做好境外人员劝返工作，及时更新三类人员台账和一人一档。目前泉峰街道反电诈三类管控人员共106人。其中窝点对象共有22人，已劝返19人，剩余3个窝点对象滞留缅北3人，这3个对象街道工作人员由五包一提升为七包一并要求每周与其家属见面两次开展劝返，家属一直与本人无法联系。两卡办理实行街道、派出所、社区三级联审制度，出境实行更为严格的“五联审”制度。</w:t>
      </w:r>
      <w:r>
        <w:rPr>
          <w:rFonts w:hint="eastAsia" w:ascii="楷体_GB2312" w:hAnsi="楷体_GB2312" w:eastAsia="楷体_GB2312" w:cs="楷体_GB2312"/>
          <w:b/>
          <w:bCs/>
          <w:color w:val="auto"/>
          <w:kern w:val="0"/>
          <w:sz w:val="32"/>
          <w:szCs w:val="32"/>
          <w:lang w:val="en-US" w:eastAsia="zh-CN" w:bidi="ar"/>
        </w:rPr>
        <w:t>三是加强宣传引导。</w:t>
      </w:r>
      <w:r>
        <w:rPr>
          <w:rFonts w:hint="eastAsia" w:ascii="仿宋_GB2312" w:hAnsi="仿宋_GB2312" w:eastAsia="仿宋_GB2312" w:cs="仿宋_GB2312"/>
          <w:b w:val="0"/>
          <w:bCs w:val="0"/>
          <w:color w:val="auto"/>
          <w:kern w:val="0"/>
          <w:sz w:val="32"/>
          <w:szCs w:val="32"/>
          <w:lang w:val="en-US" w:eastAsia="zh-CN" w:bidi="ar"/>
        </w:rPr>
        <w:t>机关干部深入社区、湾场开展宣传讲座45余次，发放宣传资料31000余份。</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（十一）未成年人保护工作</w:t>
      </w:r>
    </w:p>
    <w:p>
      <w:pPr>
        <w:numPr>
          <w:ilvl w:val="0"/>
          <w:numId w:val="0"/>
        </w:numPr>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我们把保护未成年人工作作为保护人民群众生命健康安全的重要内容，时刻绷紧安全无小事这根弦，深入开展“利剑护蕾”行动，为未成年筑牢安全防线。</w:t>
      </w:r>
      <w:r>
        <w:rPr>
          <w:rFonts w:hint="eastAsia" w:ascii="楷体_GB2312" w:hAnsi="楷体_GB2312" w:eastAsia="楷体_GB2312" w:cs="楷体_GB2312"/>
          <w:b/>
          <w:bCs/>
          <w:color w:val="auto"/>
          <w:kern w:val="0"/>
          <w:sz w:val="32"/>
          <w:szCs w:val="32"/>
          <w:lang w:val="en-US" w:eastAsia="zh-CN" w:bidi="ar"/>
        </w:rPr>
        <w:t>一是开展“地毯式”摸排巡查。</w:t>
      </w:r>
      <w:r>
        <w:rPr>
          <w:rFonts w:hint="eastAsia" w:ascii="仿宋_GB2312" w:hAnsi="仿宋_GB2312" w:eastAsia="仿宋_GB2312" w:cs="仿宋_GB2312"/>
          <w:b w:val="0"/>
          <w:bCs w:val="0"/>
          <w:color w:val="auto"/>
          <w:kern w:val="0"/>
          <w:sz w:val="32"/>
          <w:szCs w:val="32"/>
          <w:lang w:val="en-US" w:eastAsia="zh-CN" w:bidi="ar"/>
        </w:rPr>
        <w:t>对学校周边安全隐患进行排查，查处未成年人驾驶摩托车情况、学校周边居民自建房安全隐患情况；对宾馆、KTV、网吧等重点场所进行专项检查。</w:t>
      </w:r>
      <w:r>
        <w:rPr>
          <w:rFonts w:hint="eastAsia" w:ascii="楷体_GB2312" w:hAnsi="楷体_GB2312" w:eastAsia="楷体_GB2312" w:cs="楷体_GB2312"/>
          <w:b/>
          <w:bCs/>
          <w:color w:val="auto"/>
          <w:kern w:val="0"/>
          <w:sz w:val="32"/>
          <w:szCs w:val="32"/>
          <w:lang w:val="en-US" w:eastAsia="zh-CN" w:bidi="ar"/>
        </w:rPr>
        <w:t>二是从严打击侵权行为。</w:t>
      </w:r>
      <w:r>
        <w:rPr>
          <w:rFonts w:hint="eastAsia" w:ascii="仿宋_GB2312" w:hAnsi="仿宋_GB2312" w:eastAsia="仿宋_GB2312" w:cs="仿宋_GB2312"/>
          <w:b w:val="0"/>
          <w:bCs w:val="0"/>
          <w:color w:val="auto"/>
          <w:kern w:val="0"/>
          <w:sz w:val="32"/>
          <w:szCs w:val="32"/>
          <w:lang w:val="en-US" w:eastAsia="zh-CN" w:bidi="ar"/>
        </w:rPr>
        <w:t>对未成年人侵权行为，一经发现，一律从严从快查处，形成强烈震慑。2023年1月1日至今，二起未成年性侵案均以最快速度告破，嫌疑人均已被采取强制措施。</w:t>
      </w:r>
      <w:r>
        <w:rPr>
          <w:rFonts w:hint="eastAsia" w:ascii="楷体_GB2312" w:hAnsi="楷体_GB2312" w:eastAsia="楷体_GB2312" w:cs="楷体_GB2312"/>
          <w:b/>
          <w:bCs/>
          <w:color w:val="auto"/>
          <w:kern w:val="0"/>
          <w:sz w:val="32"/>
          <w:szCs w:val="32"/>
          <w:lang w:val="en-US" w:eastAsia="zh-CN" w:bidi="ar"/>
        </w:rPr>
        <w:t>三是加大宣传引导。</w:t>
      </w:r>
      <w:r>
        <w:rPr>
          <w:rFonts w:hint="eastAsia" w:ascii="仿宋_GB2312" w:hAnsi="仿宋_GB2312" w:eastAsia="仿宋_GB2312" w:cs="仿宋_GB2312"/>
          <w:b w:val="0"/>
          <w:bCs w:val="0"/>
          <w:color w:val="auto"/>
          <w:kern w:val="0"/>
          <w:sz w:val="32"/>
          <w:szCs w:val="32"/>
          <w:lang w:val="en-US" w:eastAsia="zh-CN" w:bidi="ar"/>
        </w:rPr>
        <w:t>采取以案讲法、现场讲解等方式在学校开展27次预防未成年人性侵法律知识讲座。</w:t>
      </w:r>
    </w:p>
    <w:p>
      <w:pPr>
        <w:ind w:firstLine="640" w:firstLineChars="200"/>
        <w:rPr>
          <w:rFonts w:ascii="黑体" w:hAnsi="黑体" w:eastAsia="黑体" w:cs="Times New Roman"/>
          <w:b/>
          <w:bCs/>
          <w:sz w:val="32"/>
          <w:szCs w:val="32"/>
        </w:rPr>
      </w:pPr>
      <w:r>
        <w:rPr>
          <w:rFonts w:hint="eastAsia" w:ascii="黑体" w:hAnsi="黑体" w:eastAsia="黑体"/>
          <w:sz w:val="32"/>
          <w:szCs w:val="32"/>
        </w:rPr>
        <w:t>六、存在的主要问题</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1.公用经费和项目经费存在缺口</w:t>
      </w:r>
      <w:r>
        <w:rPr>
          <w:rFonts w:hint="eastAsia" w:ascii="仿宋_GB2312" w:hAnsi="Times New Roman" w:eastAsia="仿宋_GB2312" w:cs="Times New Roman"/>
          <w:sz w:val="32"/>
          <w:szCs w:val="32"/>
          <w:lang w:eastAsia="zh-CN"/>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工作面临最基层老百姓，导致工作开展有所滞后。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工作</w:t>
      </w:r>
      <w:r>
        <w:rPr>
          <w:rFonts w:hint="eastAsia" w:ascii="仿宋_GB2312" w:hAnsi="Times New Roman" w:eastAsia="仿宋_GB2312" w:cs="Times New Roman"/>
          <w:sz w:val="32"/>
          <w:szCs w:val="32"/>
        </w:rPr>
        <w:t>人员业务能力有待提升，缺少系统性业务培训。</w:t>
      </w:r>
    </w:p>
    <w:p>
      <w:pPr>
        <w:pStyle w:val="9"/>
        <w:spacing w:before="0" w:after="0" w:line="580" w:lineRule="exact"/>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七、改进措施和建议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lang w:val="en-US" w:eastAsia="zh-CN"/>
        </w:rPr>
        <w:t>按照量入为出、收支平衡的原则编制预算，收入和支出纳入预算。从严控制“三公”经费，严格控制和压减一般性支出。扎实推进预决算公开，提高财政透明度。</w:t>
      </w:r>
    </w:p>
    <w:p>
      <w:pPr>
        <w:pStyle w:val="9"/>
        <w:spacing w:before="0" w:after="0" w:line="580" w:lineRule="exact"/>
        <w:ind w:firstLine="640" w:firstLineChars="200"/>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2. 进一步建立健全预算绩效管理工作制度，加强预算绩效管理，通过开展预算绩效管理工作培训、与财政和绩效管理先进单位交流学习等方式提高单位绩效管理工作能力和水平。</w:t>
      </w:r>
    </w:p>
    <w:p>
      <w:pPr>
        <w:pStyle w:val="9"/>
        <w:spacing w:before="0" w:after="0" w:line="580" w:lineRule="exact"/>
        <w:ind w:firstLine="640" w:firstLineChars="200"/>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3. 结合</w:t>
      </w:r>
      <w:r>
        <w:rPr>
          <w:rFonts w:hint="eastAsia" w:ascii="Times New Roman" w:hAnsi="Times New Roman" w:eastAsia="仿宋_GB2312" w:cs="Times New Roman"/>
          <w:b w:val="0"/>
          <w:bCs w:val="0"/>
          <w:kern w:val="2"/>
          <w:sz w:val="32"/>
          <w:szCs w:val="32"/>
          <w:lang w:val="en-US" w:eastAsia="zh-CN"/>
        </w:rPr>
        <w:t>办事处</w:t>
      </w:r>
      <w:r>
        <w:rPr>
          <w:rFonts w:hint="eastAsia" w:ascii="Times New Roman" w:hAnsi="Times New Roman" w:eastAsia="仿宋_GB2312" w:cs="Times New Roman"/>
          <w:b w:val="0"/>
          <w:bCs w:val="0"/>
          <w:kern w:val="2"/>
          <w:sz w:val="32"/>
          <w:szCs w:val="32"/>
        </w:rPr>
        <w:t>工作实际特点，建立绩效指标库。</w:t>
      </w:r>
    </w:p>
    <w:p>
      <w:pPr>
        <w:numPr>
          <w:ilvl w:val="0"/>
          <w:numId w:val="0"/>
        </w:numPr>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p>
    <w:p>
      <w:pPr>
        <w:numPr>
          <w:ilvl w:val="0"/>
          <w:numId w:val="0"/>
        </w:numPr>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p>
    <w:p>
      <w:pPr>
        <w:pStyle w:val="9"/>
        <w:spacing w:before="0" w:after="0" w:line="580" w:lineRule="exact"/>
        <w:ind w:firstLine="3520" w:firstLineChars="1100"/>
        <w:rPr>
          <w:rFonts w:hint="eastAsia" w:ascii="Times New Roman" w:hAnsi="Times New Roman" w:eastAsia="仿宋_GB2312" w:cs="Times New Roman"/>
          <w:b w:val="0"/>
          <w:bCs w:val="0"/>
          <w:kern w:val="2"/>
          <w:sz w:val="32"/>
          <w:szCs w:val="32"/>
          <w:lang w:val="en-US" w:eastAsia="zh-CN"/>
        </w:rPr>
      </w:pPr>
      <w:r>
        <w:rPr>
          <w:rFonts w:hint="eastAsia" w:ascii="Times New Roman" w:hAnsi="Times New Roman" w:eastAsia="仿宋_GB2312" w:cs="Times New Roman"/>
          <w:b w:val="0"/>
          <w:bCs w:val="0"/>
          <w:kern w:val="2"/>
          <w:sz w:val="32"/>
          <w:szCs w:val="32"/>
          <w:lang w:val="en-US" w:eastAsia="zh-CN"/>
        </w:rPr>
        <w:t>常宁市人民政府泉峰街道办事处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32"/>
          <w:szCs w:val="32"/>
          <w:lang w:val="en-US" w:eastAsia="zh-CN"/>
        </w:rPr>
      </w:pPr>
    </w:p>
    <w:p>
      <w:pPr>
        <w:widowControl/>
        <w:shd w:val="clear" w:color="auto" w:fill="FFFFFF"/>
        <w:ind w:firstLine="4480" w:firstLineChars="1400"/>
        <w:jc w:val="left"/>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2024年8月29日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p>
    <w:p>
      <w:pPr>
        <w:numPr>
          <w:ilvl w:val="0"/>
          <w:numId w:val="0"/>
        </w:numPr>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p>
    <w:p>
      <w:pPr>
        <w:spacing w:line="580" w:lineRule="exact"/>
        <w:ind w:firstLine="640" w:firstLineChars="200"/>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B517"/>
    <w:multiLevelType w:val="singleLevel"/>
    <w:tmpl w:val="070AB51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GI4ZjM0YjJlYmU5NTg2YTYwZjk2NGVhMzRjOTkifQ=="/>
  </w:docVars>
  <w:rsids>
    <w:rsidRoot w:val="57C01203"/>
    <w:rsid w:val="00053FE7"/>
    <w:rsid w:val="002070AE"/>
    <w:rsid w:val="00413502"/>
    <w:rsid w:val="00557B1A"/>
    <w:rsid w:val="007D26F2"/>
    <w:rsid w:val="007E5F01"/>
    <w:rsid w:val="008B70B0"/>
    <w:rsid w:val="009C2EC6"/>
    <w:rsid w:val="00A41DC9"/>
    <w:rsid w:val="00CF3C9D"/>
    <w:rsid w:val="00D422F7"/>
    <w:rsid w:val="00DB1DC7"/>
    <w:rsid w:val="00FE170B"/>
    <w:rsid w:val="113D5AF5"/>
    <w:rsid w:val="11F602A0"/>
    <w:rsid w:val="13122B1E"/>
    <w:rsid w:val="17A6337B"/>
    <w:rsid w:val="190C57B6"/>
    <w:rsid w:val="1C0F4EF3"/>
    <w:rsid w:val="1E7447BE"/>
    <w:rsid w:val="20622978"/>
    <w:rsid w:val="207672EF"/>
    <w:rsid w:val="21A961FB"/>
    <w:rsid w:val="222F444B"/>
    <w:rsid w:val="24AD52A9"/>
    <w:rsid w:val="255D1949"/>
    <w:rsid w:val="285F52C9"/>
    <w:rsid w:val="2A9A0CD9"/>
    <w:rsid w:val="312A3404"/>
    <w:rsid w:val="319173AA"/>
    <w:rsid w:val="31AF08B2"/>
    <w:rsid w:val="32613924"/>
    <w:rsid w:val="33FF2461"/>
    <w:rsid w:val="34E76663"/>
    <w:rsid w:val="37BF2745"/>
    <w:rsid w:val="38E92CF6"/>
    <w:rsid w:val="39BA0E40"/>
    <w:rsid w:val="3A244188"/>
    <w:rsid w:val="3C1E3C1A"/>
    <w:rsid w:val="41D60173"/>
    <w:rsid w:val="45886FF9"/>
    <w:rsid w:val="476A73B1"/>
    <w:rsid w:val="48EF3221"/>
    <w:rsid w:val="4E1A4EAE"/>
    <w:rsid w:val="4E224D85"/>
    <w:rsid w:val="4E855305"/>
    <w:rsid w:val="4EFD69EB"/>
    <w:rsid w:val="572D0056"/>
    <w:rsid w:val="57C01203"/>
    <w:rsid w:val="5C866AAB"/>
    <w:rsid w:val="5CCC0120"/>
    <w:rsid w:val="5D0517A8"/>
    <w:rsid w:val="5F5626CB"/>
    <w:rsid w:val="5F943C5A"/>
    <w:rsid w:val="62436329"/>
    <w:rsid w:val="668138C4"/>
    <w:rsid w:val="6CDF30F3"/>
    <w:rsid w:val="71FB2726"/>
    <w:rsid w:val="725107C2"/>
    <w:rsid w:val="78C14D44"/>
    <w:rsid w:val="798B6ADC"/>
    <w:rsid w:val="79B31B8F"/>
    <w:rsid w:val="7C020D48"/>
    <w:rsid w:val="7CDC13FD"/>
    <w:rsid w:val="7E83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2"/>
    <w:qFormat/>
    <w:uiPriority w:val="0"/>
    <w:pPr>
      <w:autoSpaceDE w:val="0"/>
      <w:autoSpaceDN w:val="0"/>
      <w:adjustRightInd w:val="0"/>
      <w:ind w:left="420" w:firstLine="420"/>
      <w:jc w:val="left"/>
    </w:pPr>
    <w:rPr>
      <w:rFonts w:ascii="Calibri" w:hAnsi="Calibri"/>
      <w:kern w:val="0"/>
    </w:rPr>
  </w:style>
  <w:style w:type="paragraph" w:customStyle="1" w:styleId="9">
    <w:name w:val="标4"/>
    <w:basedOn w:val="1"/>
    <w:qFormat/>
    <w:uiPriority w:val="99"/>
    <w:pPr>
      <w:adjustRightInd w:val="0"/>
      <w:spacing w:before="240" w:after="360" w:line="240" w:lineRule="exact"/>
      <w:outlineLvl w:val="3"/>
    </w:pPr>
    <w:rPr>
      <w:rFonts w:ascii="Arial" w:hAnsi="Arial" w:cs="Arial"/>
      <w:b/>
      <w:bCs/>
      <w:kern w:val="24"/>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747</Words>
  <Characters>4262</Characters>
  <Lines>35</Lines>
  <Paragraphs>9</Paragraphs>
  <TotalTime>25</TotalTime>
  <ScaleCrop>false</ScaleCrop>
  <LinksUpToDate>false</LinksUpToDate>
  <CharactersWithSpaces>5000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2024-04-19T01:44:00Z</dcterms:created>
  <dc:creator>人中之雄</dc:creator>
  <cp:lastModifiedBy>Administrator</cp:lastModifiedBy>
  <dcterms:modified xsi:type="dcterms:W3CDTF">2024-08-27T01:36:43Z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4536317AA7214D7BBBD94CF7876AEBBA_13</vt:lpwstr>
  </property>
</Properties>
</file>