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A3989">
      <w:pPr>
        <w:keepNext w:val="0"/>
        <w:keepLines w:val="0"/>
        <w:pageBreakBefore w:val="0"/>
        <w:kinsoku/>
        <w:overflowPunct/>
        <w:topLinePunct w:val="0"/>
        <w:autoSpaceDE/>
        <w:autoSpaceDN/>
        <w:bidi w:val="0"/>
        <w:spacing w:line="560" w:lineRule="atLeas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常宁市</w:t>
      </w:r>
      <w:r>
        <w:rPr>
          <w:rFonts w:hint="eastAsia" w:ascii="宋体" w:hAnsi="宋体" w:eastAsia="宋体" w:cs="宋体"/>
          <w:b/>
          <w:bCs/>
          <w:sz w:val="44"/>
          <w:szCs w:val="44"/>
          <w:lang w:eastAsia="zh-CN"/>
        </w:rPr>
        <w:t>融媒体中心</w:t>
      </w:r>
    </w:p>
    <w:p w14:paraId="7E3C64F9">
      <w:pPr>
        <w:keepNext w:val="0"/>
        <w:keepLines w:val="0"/>
        <w:pageBreakBefore w:val="0"/>
        <w:kinsoku/>
        <w:overflowPunct/>
        <w:topLinePunct w:val="0"/>
        <w:autoSpaceDE/>
        <w:autoSpaceDN/>
        <w:bidi w:val="0"/>
        <w:spacing w:line="560" w:lineRule="atLeast"/>
        <w:jc w:val="center"/>
        <w:textAlignment w:val="auto"/>
        <w:rPr>
          <w:rFonts w:hint="eastAsia" w:ascii="宋体" w:hAnsi="宋体" w:eastAsia="宋体" w:cs="宋体"/>
          <w:sz w:val="32"/>
          <w:szCs w:val="32"/>
        </w:rPr>
      </w:pPr>
      <w:r>
        <w:rPr>
          <w:rFonts w:hint="eastAsia" w:ascii="宋体" w:hAnsi="宋体" w:eastAsia="宋体" w:cs="宋体"/>
          <w:b/>
          <w:bCs/>
          <w:sz w:val="44"/>
          <w:szCs w:val="44"/>
          <w:lang w:val="en-US" w:eastAsia="zh-CN"/>
        </w:rPr>
        <w:t>2023</w:t>
      </w:r>
      <w:r>
        <w:rPr>
          <w:rFonts w:hint="eastAsia" w:ascii="宋体" w:hAnsi="宋体" w:eastAsia="宋体" w:cs="宋体"/>
          <w:b/>
          <w:bCs/>
          <w:sz w:val="44"/>
          <w:szCs w:val="44"/>
        </w:rPr>
        <w:t>年度</w:t>
      </w:r>
      <w:r>
        <w:rPr>
          <w:rFonts w:hint="eastAsia" w:ascii="宋体" w:hAnsi="宋体" w:eastAsia="宋体" w:cs="宋体"/>
          <w:b/>
          <w:bCs/>
          <w:sz w:val="44"/>
          <w:szCs w:val="44"/>
          <w:lang w:eastAsia="zh-CN"/>
        </w:rPr>
        <w:t>整体</w:t>
      </w:r>
      <w:r>
        <w:rPr>
          <w:rFonts w:hint="eastAsia" w:ascii="宋体" w:hAnsi="宋体" w:eastAsia="宋体" w:cs="宋体"/>
          <w:b/>
          <w:bCs/>
          <w:sz w:val="44"/>
          <w:szCs w:val="44"/>
        </w:rPr>
        <w:t>绩效评价报告</w:t>
      </w:r>
    </w:p>
    <w:p w14:paraId="371FA910">
      <w:pPr>
        <w:keepNext w:val="0"/>
        <w:keepLines w:val="0"/>
        <w:pageBreakBefore w:val="0"/>
        <w:widowControl/>
        <w:kinsoku/>
        <w:wordWrap/>
        <w:overflowPunct/>
        <w:topLinePunct w:val="0"/>
        <w:autoSpaceDE/>
        <w:autoSpaceDN/>
        <w:bidi w:val="0"/>
        <w:adjustRightInd w:val="0"/>
        <w:snapToGrid w:val="0"/>
        <w:spacing w:after="200" w:line="560" w:lineRule="atLeast"/>
        <w:ind w:firstLine="645"/>
        <w:jc w:val="both"/>
        <w:textAlignment w:val="auto"/>
        <w:rPr>
          <w:rFonts w:hint="eastAsia" w:ascii="宋体" w:hAnsi="宋体" w:eastAsia="宋体" w:cs="宋体"/>
          <w:sz w:val="28"/>
          <w:szCs w:val="28"/>
        </w:rPr>
      </w:pPr>
      <w:r>
        <w:rPr>
          <w:rFonts w:hint="eastAsia" w:ascii="宋体" w:hAnsi="宋体" w:eastAsia="宋体" w:cs="宋体"/>
          <w:sz w:val="28"/>
          <w:szCs w:val="28"/>
        </w:rPr>
        <w:t>为进一步规范财政资金管理，切实提高财政资金使用效率，根据市财政局《关于项目支出和整体支出绩效评价的通知》要求，现将</w:t>
      </w:r>
      <w:r>
        <w:rPr>
          <w:rFonts w:hint="eastAsia" w:ascii="宋体" w:hAnsi="宋体" w:eastAsia="宋体" w:cs="宋体"/>
          <w:sz w:val="28"/>
          <w:szCs w:val="28"/>
          <w:lang w:val="en-US" w:eastAsia="zh-CN"/>
        </w:rPr>
        <w:t>2023</w:t>
      </w:r>
      <w:r>
        <w:rPr>
          <w:rFonts w:hint="eastAsia" w:ascii="宋体" w:hAnsi="宋体" w:eastAsia="宋体" w:cs="宋体"/>
          <w:sz w:val="28"/>
          <w:szCs w:val="28"/>
        </w:rPr>
        <w:t>年度财政资金绩效评价工作有关情况报告如下：</w:t>
      </w:r>
    </w:p>
    <w:p w14:paraId="438F6560">
      <w:pPr>
        <w:pStyle w:val="9"/>
        <w:keepNext w:val="0"/>
        <w:keepLines w:val="0"/>
        <w:pageBreakBefore w:val="0"/>
        <w:widowControl/>
        <w:numPr>
          <w:ilvl w:val="0"/>
          <w:numId w:val="1"/>
        </w:numPr>
        <w:kinsoku/>
        <w:wordWrap/>
        <w:overflowPunct/>
        <w:topLinePunct w:val="0"/>
        <w:autoSpaceDE/>
        <w:autoSpaceDN/>
        <w:bidi w:val="0"/>
        <w:adjustRightInd w:val="0"/>
        <w:snapToGrid w:val="0"/>
        <w:spacing w:after="200" w:line="560" w:lineRule="atLeast"/>
        <w:ind w:firstLineChars="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单位基本情况</w:t>
      </w:r>
    </w:p>
    <w:p w14:paraId="1A9FA750">
      <w:pPr>
        <w:keepNext w:val="0"/>
        <w:keepLines w:val="0"/>
        <w:pageBreakBefore w:val="0"/>
        <w:widowControl/>
        <w:kinsoku/>
        <w:wordWrap/>
        <w:overflowPunct/>
        <w:topLinePunct w:val="0"/>
        <w:autoSpaceDE/>
        <w:autoSpaceDN/>
        <w:bidi w:val="0"/>
        <w:adjustRightInd w:val="0"/>
        <w:snapToGrid w:val="0"/>
        <w:spacing w:after="200" w:line="560" w:lineRule="atLeast"/>
        <w:ind w:firstLine="645"/>
        <w:jc w:val="both"/>
        <w:textAlignment w:val="auto"/>
        <w:rPr>
          <w:rFonts w:hint="eastAsia" w:ascii="宋体" w:hAnsi="宋体" w:eastAsia="宋体" w:cs="宋体"/>
          <w:sz w:val="28"/>
          <w:szCs w:val="28"/>
        </w:rPr>
      </w:pPr>
      <w:r>
        <w:rPr>
          <w:rFonts w:hint="eastAsia" w:ascii="宋体" w:hAnsi="宋体" w:eastAsia="宋体" w:cs="Times New Roman"/>
          <w:bCs/>
          <w:color w:val="auto"/>
          <w:kern w:val="0"/>
          <w:sz w:val="28"/>
          <w:szCs w:val="28"/>
          <w:lang w:val="en-US" w:eastAsia="zh-CN" w:bidi="ar"/>
        </w:rPr>
        <w:t>常宁市融媒体中心内设机构包括：根据编委核定，我中心内设机构1</w:t>
      </w:r>
      <w:r>
        <w:rPr>
          <w:rFonts w:hint="eastAsia" w:ascii="宋体" w:hAnsi="宋体" w:cs="Times New Roman"/>
          <w:bCs/>
          <w:color w:val="auto"/>
          <w:kern w:val="0"/>
          <w:sz w:val="28"/>
          <w:szCs w:val="28"/>
          <w:lang w:val="en-US" w:eastAsia="zh-CN" w:bidi="ar"/>
        </w:rPr>
        <w:t>3</w:t>
      </w:r>
      <w:r>
        <w:rPr>
          <w:rFonts w:hint="eastAsia" w:ascii="宋体" w:hAnsi="宋体" w:eastAsia="宋体" w:cs="Times New Roman"/>
          <w:bCs/>
          <w:color w:val="auto"/>
          <w:kern w:val="0"/>
          <w:sz w:val="28"/>
          <w:szCs w:val="28"/>
          <w:lang w:val="en-US" w:eastAsia="zh-CN" w:bidi="ar"/>
        </w:rPr>
        <w:t>个，所属事业单位</w:t>
      </w:r>
      <w:r>
        <w:rPr>
          <w:rFonts w:hint="eastAsia" w:ascii="宋体" w:hAnsi="宋体" w:cs="Times New Roman"/>
          <w:bCs/>
          <w:color w:val="auto"/>
          <w:kern w:val="0"/>
          <w:sz w:val="28"/>
          <w:szCs w:val="28"/>
          <w:lang w:val="en-US" w:eastAsia="zh-CN" w:bidi="ar"/>
        </w:rPr>
        <w:t>3</w:t>
      </w:r>
      <w:r>
        <w:rPr>
          <w:rFonts w:hint="eastAsia" w:ascii="宋体" w:hAnsi="宋体" w:eastAsia="宋体" w:cs="Times New Roman"/>
          <w:bCs/>
          <w:color w:val="auto"/>
          <w:kern w:val="0"/>
          <w:sz w:val="28"/>
          <w:szCs w:val="28"/>
          <w:lang w:val="en-US" w:eastAsia="zh-CN" w:bidi="ar"/>
        </w:rPr>
        <w:t>个。</w:t>
      </w:r>
      <w:r>
        <w:rPr>
          <w:rFonts w:hint="eastAsia" w:ascii="宋体" w:hAnsi="宋体" w:eastAsia="宋体" w:cs="宋体"/>
          <w:sz w:val="28"/>
          <w:szCs w:val="28"/>
        </w:rPr>
        <w:t> </w:t>
      </w:r>
    </w:p>
    <w:p w14:paraId="65A1EBF1">
      <w:pPr>
        <w:keepNext w:val="0"/>
        <w:keepLines w:val="0"/>
        <w:pageBreakBefore w:val="0"/>
        <w:widowControl/>
        <w:kinsoku/>
        <w:wordWrap/>
        <w:overflowPunct/>
        <w:topLinePunct w:val="0"/>
        <w:autoSpaceDE/>
        <w:autoSpaceDN/>
        <w:bidi w:val="0"/>
        <w:adjustRightInd w:val="0"/>
        <w:snapToGrid w:val="0"/>
        <w:spacing w:after="200" w:line="560" w:lineRule="atLeast"/>
        <w:ind w:firstLine="645"/>
        <w:jc w:val="both"/>
        <w:textAlignment w:val="auto"/>
        <w:rPr>
          <w:rFonts w:hint="eastAsia" w:ascii="仿宋" w:hAnsi="仿宋" w:eastAsia="仿宋" w:cs="仿宋"/>
          <w:sz w:val="32"/>
          <w:szCs w:val="32"/>
        </w:rPr>
      </w:pPr>
      <w:r>
        <w:rPr>
          <w:rFonts w:hint="eastAsia" w:ascii="宋体" w:hAnsi="宋体" w:eastAsia="宋体" w:cs="宋体"/>
          <w:sz w:val="28"/>
          <w:szCs w:val="28"/>
        </w:rPr>
        <w:t>内设</w:t>
      </w:r>
      <w:r>
        <w:rPr>
          <w:rFonts w:hint="eastAsia" w:ascii="宋体" w:hAnsi="宋体" w:eastAsia="宋体" w:cs="Times New Roman"/>
          <w:bCs/>
          <w:color w:val="auto"/>
          <w:kern w:val="0"/>
          <w:sz w:val="28"/>
          <w:szCs w:val="28"/>
          <w:lang w:val="en-US" w:eastAsia="zh-CN" w:bidi="ar"/>
        </w:rPr>
        <w:t>机构</w:t>
      </w:r>
      <w:r>
        <w:rPr>
          <w:rFonts w:hint="eastAsia" w:ascii="宋体" w:hAnsi="宋体" w:eastAsia="宋体" w:cs="宋体"/>
          <w:sz w:val="28"/>
          <w:szCs w:val="28"/>
        </w:rPr>
        <w:t>分别是：</w:t>
      </w:r>
      <w:r>
        <w:rPr>
          <w:rFonts w:hint="eastAsia" w:ascii="宋体" w:hAnsi="宋体" w:eastAsia="宋体" w:cs="宋体"/>
          <w:sz w:val="28"/>
          <w:szCs w:val="28"/>
          <w:lang w:val="en-US" w:eastAsia="zh-CN"/>
        </w:rPr>
        <w:t>综合股、人事股、财务统计股、安全保障部、规划发展部、公共服务部（科技部）、广播电视转播台、经营管理部、总编辑部、记者部、编辑制作部、新媒体部、报社编辑部；所属事业单位分别是：常宁电视台、常宁人民广播电台、常宁市广播电视宽带网络中心。</w:t>
      </w:r>
    </w:p>
    <w:p w14:paraId="7A69438A">
      <w:pPr>
        <w:pStyle w:val="9"/>
        <w:keepNext w:val="0"/>
        <w:keepLines w:val="0"/>
        <w:pageBreakBefore w:val="0"/>
        <w:numPr>
          <w:ilvl w:val="0"/>
          <w:numId w:val="1"/>
        </w:numPr>
        <w:kinsoku/>
        <w:overflowPunct/>
        <w:topLinePunct w:val="0"/>
        <w:autoSpaceDE/>
        <w:autoSpaceDN/>
        <w:bidi w:val="0"/>
        <w:spacing w:after="200" w:line="560" w:lineRule="atLeast"/>
        <w:ind w:firstLineChars="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部门的主要职责</w:t>
      </w:r>
    </w:p>
    <w:p w14:paraId="083AD044">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把握正确舆论导向，认真贯彻执行党中央、国务院和省、衡阳市、常宁市有关新闻宣传、文艺宣传方面的路线、方针、政策和法律法规，围绕常宁市委、市政府中心工作组织和开展全市融媒体新闻宣传舆论引导工作。</w:t>
      </w:r>
    </w:p>
    <w:p w14:paraId="0331A040">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2、负责常宁市融媒体中心事业、产业的规划、发展、建设与管理；负责组织审查常宁市融媒体中心广告播出，开展相关经营。</w:t>
      </w:r>
    </w:p>
    <w:p w14:paraId="40022249">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3、负责常宁市融媒体中心新技术的科学研究和开发利用，提升融媒体的科技含量和发展水平，促进深度融合。积极开展常宁市融媒体中心的对外交流与合作。</w:t>
      </w:r>
    </w:p>
    <w:p w14:paraId="49CA88C3">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4、坚持移动优先，做好常宁市融媒体中心节目的采编、制作、审核、播控、传输、发射工作。</w:t>
      </w:r>
    </w:p>
    <w:p w14:paraId="2118FAF0">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5、负责组织和推进常宁市融媒体中心改革发展，加强融媒体队伍建设，提高人员素质；负责管理中心所属各单位。</w:t>
      </w:r>
    </w:p>
    <w:p w14:paraId="730C36BD">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6、根据市政府的授权承担常宁市融媒体中心及所属单位的国有资产的管理和经营，并负责其保值增值。</w:t>
      </w:r>
    </w:p>
    <w:p w14:paraId="45DC8998">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7、为全市机关事业单位、企业和人民群众提供更多更好的融媒体产品服务，满足人民群众精神文化需要。</w:t>
      </w:r>
    </w:p>
    <w:p w14:paraId="04222629">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8、完成市委、市政府交办的其他事项。</w:t>
      </w:r>
    </w:p>
    <w:p w14:paraId="61446AE0">
      <w:pPr>
        <w:keepNext w:val="0"/>
        <w:keepLines w:val="0"/>
        <w:pageBreakBefore w:val="0"/>
        <w:kinsoku/>
        <w:overflowPunct/>
        <w:topLinePunct w:val="0"/>
        <w:bidi w:val="0"/>
        <w:spacing w:after="200" w:line="560" w:lineRule="atLeas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lang w:eastAsia="zh-CN"/>
        </w:rPr>
        <w:t>三</w:t>
      </w:r>
      <w:r>
        <w:rPr>
          <w:rFonts w:hint="eastAsia" w:ascii="宋体" w:hAnsi="宋体" w:eastAsia="宋体" w:cs="宋体"/>
          <w:b/>
          <w:sz w:val="32"/>
          <w:szCs w:val="32"/>
        </w:rPr>
        <w:t>、部门财政资金收支情况</w:t>
      </w:r>
    </w:p>
    <w:p w14:paraId="731535AC">
      <w:pPr>
        <w:keepNext w:val="0"/>
        <w:keepLines w:val="0"/>
        <w:pageBreakBefore w:val="0"/>
        <w:kinsoku/>
        <w:overflowPunct/>
        <w:topLinePunct w:val="0"/>
        <w:bidi w:val="0"/>
        <w:spacing w:after="200" w:line="560" w:lineRule="atLeast"/>
        <w:ind w:firstLine="482" w:firstLineChars="150"/>
        <w:textAlignment w:val="auto"/>
        <w:rPr>
          <w:rFonts w:hint="eastAsia" w:ascii="宋体" w:hAnsi="宋体" w:eastAsia="宋体" w:cs="宋体"/>
          <w:color w:val="000000"/>
          <w:kern w:val="0"/>
          <w:sz w:val="32"/>
          <w:szCs w:val="32"/>
        </w:rPr>
      </w:pPr>
      <w:r>
        <w:rPr>
          <w:rFonts w:hint="eastAsia" w:ascii="宋体" w:hAnsi="宋体" w:eastAsia="宋体" w:cs="宋体"/>
          <w:b/>
          <w:sz w:val="32"/>
          <w:szCs w:val="32"/>
        </w:rPr>
        <w:t>（一）部门财政资金收入情况</w:t>
      </w:r>
    </w:p>
    <w:p w14:paraId="68C1D641">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仿宋" w:hAnsi="仿宋" w:eastAsia="仿宋" w:cs="仿宋"/>
          <w:b w:val="0"/>
          <w:bCs w:val="0"/>
          <w:sz w:val="32"/>
          <w:szCs w:val="32"/>
          <w:lang w:val="en-US" w:eastAsia="zh-CN"/>
        </w:rPr>
      </w:pPr>
      <w:r>
        <w:rPr>
          <w:rFonts w:hint="eastAsia" w:ascii="宋体" w:hAnsi="宋体" w:eastAsia="宋体" w:cs="宋体"/>
          <w:b w:val="0"/>
          <w:bCs w:val="0"/>
          <w:sz w:val="28"/>
          <w:szCs w:val="28"/>
          <w:lang w:val="en-US" w:eastAsia="zh-CN"/>
        </w:rPr>
        <w:t>2023</w:t>
      </w:r>
      <w:r>
        <w:rPr>
          <w:rFonts w:hint="eastAsia" w:ascii="宋体" w:hAnsi="宋体" w:eastAsia="宋体" w:cs="宋体"/>
          <w:b w:val="0"/>
          <w:bCs w:val="0"/>
          <w:sz w:val="28"/>
          <w:szCs w:val="28"/>
        </w:rPr>
        <w:t>年财政拨款收入</w:t>
      </w:r>
      <w:r>
        <w:rPr>
          <w:rFonts w:hint="eastAsia" w:ascii="宋体" w:hAnsi="宋体" w:eastAsia="宋体" w:cs="宋体"/>
          <w:b w:val="0"/>
          <w:bCs w:val="0"/>
          <w:sz w:val="28"/>
          <w:szCs w:val="28"/>
          <w:lang w:val="en-US" w:eastAsia="zh-CN"/>
        </w:rPr>
        <w:t>2288.25</w:t>
      </w:r>
      <w:r>
        <w:rPr>
          <w:rFonts w:hint="eastAsia" w:ascii="宋体" w:hAnsi="宋体" w:eastAsia="宋体" w:cs="宋体"/>
          <w:b w:val="0"/>
          <w:bCs w:val="0"/>
          <w:sz w:val="28"/>
          <w:szCs w:val="28"/>
        </w:rPr>
        <w:t>万元，</w:t>
      </w:r>
      <w:r>
        <w:rPr>
          <w:rFonts w:hint="eastAsia" w:ascii="宋体" w:hAnsi="宋体" w:eastAsia="宋体" w:cs="仿宋"/>
          <w:bCs/>
          <w:color w:val="auto"/>
          <w:kern w:val="2"/>
          <w:sz w:val="28"/>
          <w:szCs w:val="28"/>
          <w:lang w:val="en-US" w:eastAsia="zh-CN" w:bidi="ar-SA"/>
        </w:rPr>
        <w:t>其中：基本支出1893.47万元，占</w:t>
      </w:r>
      <w:r>
        <w:rPr>
          <w:rFonts w:hint="eastAsia" w:ascii="宋体" w:hAnsi="宋体" w:eastAsia="宋体" w:cs="宋体"/>
          <w:b w:val="0"/>
          <w:bCs w:val="0"/>
          <w:sz w:val="28"/>
          <w:szCs w:val="28"/>
        </w:rPr>
        <w:t>财政拨款收入</w:t>
      </w:r>
      <w:r>
        <w:rPr>
          <w:rFonts w:hint="eastAsia" w:ascii="宋体" w:hAnsi="宋体" w:eastAsia="宋体" w:cs="宋体"/>
          <w:b w:val="0"/>
          <w:bCs w:val="0"/>
          <w:sz w:val="28"/>
          <w:szCs w:val="28"/>
          <w:lang w:eastAsia="zh-CN"/>
        </w:rPr>
        <w:t>的</w:t>
      </w:r>
      <w:r>
        <w:rPr>
          <w:rFonts w:hint="eastAsia" w:ascii="宋体" w:hAnsi="宋体" w:eastAsia="宋体" w:cs="仿宋"/>
          <w:bCs/>
          <w:color w:val="auto"/>
          <w:kern w:val="2"/>
          <w:sz w:val="28"/>
          <w:szCs w:val="28"/>
          <w:lang w:val="en-US" w:eastAsia="zh-CN" w:bidi="ar-SA"/>
        </w:rPr>
        <w:t>82.75%；项目支出394.78万元，占</w:t>
      </w:r>
      <w:r>
        <w:rPr>
          <w:rFonts w:hint="eastAsia" w:ascii="宋体" w:hAnsi="宋体" w:eastAsia="宋体" w:cs="宋体"/>
          <w:b w:val="0"/>
          <w:bCs w:val="0"/>
          <w:sz w:val="28"/>
          <w:szCs w:val="28"/>
        </w:rPr>
        <w:t>财政拨款收入</w:t>
      </w:r>
      <w:r>
        <w:rPr>
          <w:rFonts w:hint="eastAsia" w:ascii="宋体" w:hAnsi="宋体" w:eastAsia="宋体" w:cs="宋体"/>
          <w:b w:val="0"/>
          <w:bCs w:val="0"/>
          <w:sz w:val="28"/>
          <w:szCs w:val="28"/>
          <w:lang w:eastAsia="zh-CN"/>
        </w:rPr>
        <w:t>的</w:t>
      </w:r>
      <w:r>
        <w:rPr>
          <w:rFonts w:hint="eastAsia" w:ascii="宋体" w:hAnsi="宋体" w:eastAsia="宋体" w:cs="仿宋"/>
          <w:bCs/>
          <w:color w:val="auto"/>
          <w:kern w:val="2"/>
          <w:sz w:val="28"/>
          <w:szCs w:val="28"/>
          <w:lang w:val="en-US" w:eastAsia="zh-CN" w:bidi="ar-SA"/>
        </w:rPr>
        <w:t>17.25%；上缴上级支出0万元，占0%；经营支出0万元，占0%；对附属单位补助支出0万元，占0%。</w:t>
      </w:r>
    </w:p>
    <w:p w14:paraId="67C6CA79">
      <w:pPr>
        <w:keepNext w:val="0"/>
        <w:keepLines w:val="0"/>
        <w:pageBreakBefore w:val="0"/>
        <w:kinsoku/>
        <w:overflowPunct/>
        <w:topLinePunct w:val="0"/>
        <w:bidi w:val="0"/>
        <w:spacing w:after="200" w:line="560" w:lineRule="atLeast"/>
        <w:ind w:firstLine="482" w:firstLineChars="150"/>
        <w:textAlignment w:val="auto"/>
        <w:rPr>
          <w:rFonts w:hint="eastAsia" w:ascii="宋体" w:hAnsi="宋体" w:eastAsia="宋体" w:cs="宋体"/>
          <w:b/>
          <w:sz w:val="32"/>
          <w:szCs w:val="32"/>
        </w:rPr>
      </w:pPr>
      <w:r>
        <w:rPr>
          <w:rFonts w:hint="eastAsia" w:ascii="仿宋" w:hAnsi="仿宋" w:eastAsia="仿宋" w:cs="仿宋"/>
          <w:b/>
          <w:sz w:val="32"/>
          <w:szCs w:val="32"/>
        </w:rPr>
        <w:t>（</w:t>
      </w:r>
      <w:r>
        <w:rPr>
          <w:rFonts w:hint="eastAsia" w:ascii="宋体" w:hAnsi="宋体" w:eastAsia="宋体" w:cs="宋体"/>
          <w:b/>
          <w:sz w:val="32"/>
          <w:szCs w:val="32"/>
        </w:rPr>
        <w:t>二）部门财政资金支出情况</w:t>
      </w:r>
    </w:p>
    <w:p w14:paraId="525A942D">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sz w:val="28"/>
          <w:szCs w:val="28"/>
          <w:lang w:val="en-US" w:eastAsia="zh-CN"/>
        </w:rPr>
      </w:pPr>
      <w:r>
        <w:rPr>
          <w:rFonts w:hint="eastAsia" w:ascii="宋体" w:hAnsi="宋体" w:eastAsia="宋体" w:cs="宋体"/>
          <w:bCs/>
          <w:sz w:val="28"/>
          <w:szCs w:val="28"/>
        </w:rPr>
        <w:t>20</w:t>
      </w:r>
      <w:r>
        <w:rPr>
          <w:rFonts w:hint="eastAsia" w:ascii="宋体" w:hAnsi="宋体" w:eastAsia="宋体" w:cs="宋体"/>
          <w:bCs/>
          <w:sz w:val="28"/>
          <w:szCs w:val="28"/>
          <w:lang w:val="en-US" w:eastAsia="zh-CN"/>
        </w:rPr>
        <w:t>23</w:t>
      </w:r>
      <w:r>
        <w:rPr>
          <w:rFonts w:hint="eastAsia" w:ascii="宋体" w:hAnsi="宋体" w:eastAsia="宋体" w:cs="宋体"/>
          <w:bCs/>
          <w:sz w:val="28"/>
          <w:szCs w:val="28"/>
        </w:rPr>
        <w:t>年</w:t>
      </w:r>
      <w:r>
        <w:rPr>
          <w:rFonts w:hint="eastAsia" w:ascii="宋体" w:hAnsi="宋体" w:eastAsia="宋体" w:cs="宋体"/>
          <w:b w:val="0"/>
          <w:bCs w:val="0"/>
          <w:sz w:val="28"/>
          <w:szCs w:val="28"/>
        </w:rPr>
        <w:t>财政拨款</w:t>
      </w:r>
      <w:r>
        <w:rPr>
          <w:rFonts w:hint="eastAsia" w:ascii="宋体" w:hAnsi="宋体" w:eastAsia="宋体" w:cs="宋体"/>
          <w:b w:val="0"/>
          <w:bCs w:val="0"/>
          <w:sz w:val="28"/>
          <w:szCs w:val="28"/>
          <w:lang w:eastAsia="zh-CN"/>
        </w:rPr>
        <w:t>支出</w:t>
      </w:r>
      <w:r>
        <w:rPr>
          <w:rFonts w:hint="eastAsia" w:ascii="宋体" w:hAnsi="宋体" w:eastAsia="宋体" w:cs="宋体"/>
          <w:bCs/>
          <w:color w:val="auto"/>
          <w:kern w:val="2"/>
          <w:sz w:val="28"/>
          <w:szCs w:val="28"/>
          <w:lang w:val="en-US" w:eastAsia="zh-CN" w:bidi="ar-SA"/>
        </w:rPr>
        <w:t>2288.25万元，其中：基本支出1893.47万元，占</w:t>
      </w:r>
      <w:r>
        <w:rPr>
          <w:rFonts w:hint="eastAsia" w:ascii="宋体" w:hAnsi="宋体" w:eastAsia="宋体" w:cs="宋体"/>
          <w:b w:val="0"/>
          <w:bCs w:val="0"/>
          <w:sz w:val="28"/>
          <w:szCs w:val="28"/>
        </w:rPr>
        <w:t>财政拨款</w:t>
      </w:r>
      <w:r>
        <w:rPr>
          <w:rFonts w:hint="eastAsia" w:ascii="宋体" w:hAnsi="宋体" w:eastAsia="宋体" w:cs="宋体"/>
          <w:b w:val="0"/>
          <w:bCs w:val="0"/>
          <w:sz w:val="28"/>
          <w:szCs w:val="28"/>
          <w:lang w:eastAsia="zh-CN"/>
        </w:rPr>
        <w:t>支出的</w:t>
      </w:r>
      <w:r>
        <w:rPr>
          <w:rFonts w:hint="eastAsia" w:ascii="宋体" w:hAnsi="宋体" w:eastAsia="宋体" w:cs="宋体"/>
          <w:bCs/>
          <w:color w:val="auto"/>
          <w:kern w:val="2"/>
          <w:sz w:val="28"/>
          <w:szCs w:val="28"/>
          <w:lang w:val="en-US" w:eastAsia="zh-CN" w:bidi="ar-SA"/>
        </w:rPr>
        <w:t>82.75%；项目支出394.78万元，占</w:t>
      </w:r>
      <w:r>
        <w:rPr>
          <w:rFonts w:hint="eastAsia" w:ascii="宋体" w:hAnsi="宋体" w:eastAsia="宋体" w:cs="宋体"/>
          <w:b w:val="0"/>
          <w:bCs w:val="0"/>
          <w:sz w:val="28"/>
          <w:szCs w:val="28"/>
        </w:rPr>
        <w:t>财政拨款</w:t>
      </w:r>
      <w:r>
        <w:rPr>
          <w:rFonts w:hint="eastAsia" w:ascii="宋体" w:hAnsi="宋体" w:eastAsia="宋体" w:cs="宋体"/>
          <w:b w:val="0"/>
          <w:bCs w:val="0"/>
          <w:sz w:val="28"/>
          <w:szCs w:val="28"/>
          <w:lang w:eastAsia="zh-CN"/>
        </w:rPr>
        <w:t>支出的</w:t>
      </w:r>
      <w:r>
        <w:rPr>
          <w:rFonts w:hint="eastAsia" w:ascii="宋体" w:hAnsi="宋体" w:eastAsia="宋体" w:cs="宋体"/>
          <w:bCs/>
          <w:color w:val="auto"/>
          <w:kern w:val="2"/>
          <w:sz w:val="28"/>
          <w:szCs w:val="28"/>
          <w:lang w:val="en-US" w:eastAsia="zh-CN" w:bidi="ar-SA"/>
        </w:rPr>
        <w:t>17.25%；上缴上级支出0万元，占0%；经营支出0万元，占0%；</w:t>
      </w:r>
      <w:r>
        <w:rPr>
          <w:rFonts w:hint="eastAsia" w:ascii="宋体" w:hAnsi="宋体" w:eastAsia="宋体" w:cs="宋体"/>
          <w:sz w:val="28"/>
          <w:szCs w:val="28"/>
          <w:lang w:val="en-US" w:eastAsia="zh-CN"/>
        </w:rPr>
        <w:t xml:space="preserve">对附属单位补助支出0万元，占0%。  </w:t>
      </w:r>
    </w:p>
    <w:p w14:paraId="0F556B67">
      <w:pPr>
        <w:pStyle w:val="9"/>
        <w:keepNext w:val="0"/>
        <w:keepLines w:val="0"/>
        <w:pageBreakBefore w:val="0"/>
        <w:numPr>
          <w:ilvl w:val="0"/>
          <w:numId w:val="0"/>
        </w:numPr>
        <w:kinsoku/>
        <w:overflowPunct/>
        <w:topLinePunct w:val="0"/>
        <w:autoSpaceDE/>
        <w:autoSpaceDN/>
        <w:bidi w:val="0"/>
        <w:spacing w:after="200" w:line="560" w:lineRule="atLeast"/>
        <w:ind w:left="645" w:leftChars="0"/>
        <w:jc w:val="both"/>
        <w:textAlignment w:val="auto"/>
        <w:rPr>
          <w:rFonts w:hint="eastAsia" w:ascii="宋体" w:hAnsi="宋体" w:eastAsia="宋体" w:cs="宋体"/>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整体支出绩效评价</w:t>
      </w:r>
    </w:p>
    <w:p w14:paraId="27228687">
      <w:pPr>
        <w:spacing w:beforeLines="0" w:afterLines="0" w:line="520" w:lineRule="exact"/>
        <w:ind w:firstLine="64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2023年度本单位全年支出合计2414.52万元，其中：基本支出1893.46万元，占78.42%；项目支出521.06万元，占21.58%。全部实行整体支出绩效目标管理。在市委市政府的正确领导下，在市委宣传部的具体指导下，</w:t>
      </w:r>
      <w:r>
        <w:rPr>
          <w:rFonts w:hint="default" w:ascii="宋体" w:hAnsi="宋体" w:eastAsia="宋体" w:cs="宋体"/>
          <w:b w:val="0"/>
          <w:bCs w:val="0"/>
          <w:sz w:val="28"/>
          <w:szCs w:val="28"/>
          <w:lang w:val="en-US" w:eastAsia="zh-CN"/>
        </w:rPr>
        <w:t>常宁市融媒体中心以互联网的思维，以创新的视角，以高效的管理，加快构建全媒体传播体系，搭建治国理政平台，着力服务引导群众，挑战了一个个不可能变为可能，实现了难以想象的事情变为现实，推进媒体融合快速良性纵深发展，提升了新闻人的自豪感和幸福感</w:t>
      </w:r>
      <w:r>
        <w:rPr>
          <w:rFonts w:hint="eastAsia" w:ascii="宋体" w:hAnsi="宋体" w:eastAsia="宋体" w:cs="宋体"/>
          <w:b w:val="0"/>
          <w:bCs w:val="0"/>
          <w:sz w:val="28"/>
          <w:szCs w:val="28"/>
          <w:lang w:val="en-US" w:eastAsia="zh-CN"/>
        </w:rPr>
        <w:t>。</w:t>
      </w:r>
    </w:p>
    <w:p w14:paraId="3173ADA4">
      <w:pPr>
        <w:spacing w:beforeLines="0" w:afterLines="0" w:line="520" w:lineRule="exact"/>
        <w:ind w:firstLine="64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2023年新闻报道共发稿2425余条。在上级媒体上稿910余条，其中央视16条、省级153条，衡阳市级244条，学习强国、央视网等平台上稿497条。另外，人民网单独计算上稿1562条。“大义常宁”抖音号和“天下常宁”视频号点击量、关注度持续攀升，全年制作发布原创抖音短视频165余条，抖音号全年总播放量突758.4万人次，累计获赞13.7万，粉丝量突破3.1万。11300个“村村响”广播无死角全覆盖，播发扶贫政策宣讲、种养技术培训、森林防火等各类资讯信息3086余条。中心连续多年被评为优秀区域融媒综合传播力单位，大义常宁 APP、一些短视频、原创歌曲分别荣获国奖、省奖。</w:t>
      </w:r>
      <w:r>
        <w:rPr>
          <w:rFonts w:hint="default" w:ascii="宋体" w:hAnsi="宋体" w:eastAsia="宋体" w:cs="宋体"/>
          <w:b w:val="0"/>
          <w:bCs w:val="0"/>
          <w:sz w:val="28"/>
          <w:szCs w:val="28"/>
          <w:lang w:val="en-US" w:eastAsia="zh-CN"/>
        </w:rPr>
        <w:t>原创歌曲《印山之光》荣获融媒优秀作品奖</w:t>
      </w:r>
      <w:r>
        <w:rPr>
          <w:rFonts w:hint="eastAsia" w:ascii="宋体" w:hAnsi="宋体" w:eastAsia="宋体" w:cs="宋体"/>
          <w:b w:val="0"/>
          <w:bCs w:val="0"/>
          <w:sz w:val="28"/>
          <w:szCs w:val="28"/>
          <w:lang w:val="en-US" w:eastAsia="zh-CN"/>
        </w:rPr>
        <w:t>，原创作品《闻香荷花里，食一碗人间烟火》获“衡阳新闻奖”二等奖，原创歌曲</w:t>
      </w:r>
      <w:r>
        <w:rPr>
          <w:rFonts w:hint="default" w:ascii="宋体" w:hAnsi="宋体" w:eastAsia="宋体" w:cs="宋体"/>
          <w:b w:val="0"/>
          <w:bCs w:val="0"/>
          <w:sz w:val="28"/>
          <w:szCs w:val="28"/>
          <w:lang w:val="en-US" w:eastAsia="zh-CN"/>
        </w:rPr>
        <w:t>《印山之光》</w:t>
      </w:r>
      <w:r>
        <w:rPr>
          <w:rFonts w:hint="eastAsia" w:ascii="宋体" w:hAnsi="宋体" w:eastAsia="宋体" w:cs="宋体"/>
          <w:b w:val="0"/>
          <w:bCs w:val="0"/>
          <w:sz w:val="28"/>
          <w:szCs w:val="28"/>
          <w:lang w:val="en-US" w:eastAsia="zh-CN"/>
        </w:rPr>
        <w:t>和</w:t>
      </w:r>
      <w:r>
        <w:rPr>
          <w:rFonts w:hint="default" w:ascii="宋体" w:hAnsi="宋体" w:eastAsia="宋体" w:cs="宋体"/>
          <w:b w:val="0"/>
          <w:bCs w:val="0"/>
          <w:sz w:val="28"/>
          <w:szCs w:val="28"/>
          <w:lang w:val="en-US" w:eastAsia="zh-CN"/>
        </w:rPr>
        <w:t>《党建+联盟》</w:t>
      </w:r>
      <w:r>
        <w:rPr>
          <w:rFonts w:hint="eastAsia" w:ascii="宋体" w:hAnsi="宋体" w:eastAsia="宋体" w:cs="宋体"/>
          <w:b w:val="0"/>
          <w:bCs w:val="0"/>
          <w:sz w:val="28"/>
          <w:szCs w:val="28"/>
          <w:lang w:val="en-US" w:eastAsia="zh-CN"/>
        </w:rPr>
        <w:t>短视频分别</w:t>
      </w:r>
      <w:r>
        <w:rPr>
          <w:rFonts w:hint="default" w:ascii="宋体" w:hAnsi="宋体" w:eastAsia="宋体" w:cs="宋体"/>
          <w:b w:val="0"/>
          <w:bCs w:val="0"/>
          <w:sz w:val="28"/>
          <w:szCs w:val="28"/>
          <w:lang w:val="en-US" w:eastAsia="zh-CN"/>
        </w:rPr>
        <w:t>荣获2022-2023优秀区域融媒创新发展最具创新传播力短视频TOP10</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原创歌曲《我是舂陵河》《印山之光》</w:t>
      </w:r>
      <w:r>
        <w:rPr>
          <w:rFonts w:hint="eastAsia" w:ascii="宋体" w:hAnsi="宋体" w:eastAsia="宋体" w:cs="宋体"/>
          <w:b w:val="0"/>
          <w:bCs w:val="0"/>
          <w:sz w:val="28"/>
          <w:szCs w:val="28"/>
          <w:lang w:val="en-US" w:eastAsia="zh-CN"/>
        </w:rPr>
        <w:t>分别</w:t>
      </w:r>
      <w:r>
        <w:rPr>
          <w:rFonts w:hint="default" w:ascii="宋体" w:hAnsi="宋体" w:eastAsia="宋体" w:cs="宋体"/>
          <w:b w:val="0"/>
          <w:bCs w:val="0"/>
          <w:sz w:val="28"/>
          <w:szCs w:val="28"/>
          <w:lang w:val="en-US" w:eastAsia="zh-CN"/>
        </w:rPr>
        <w:t>在《谁不说俺家乡美》视频作品展映活动中分别被推选为专题类二等</w:t>
      </w:r>
      <w:r>
        <w:rPr>
          <w:rFonts w:hint="eastAsia" w:ascii="宋体" w:hAnsi="宋体" w:eastAsia="宋体" w:cs="宋体"/>
          <w:b w:val="0"/>
          <w:bCs w:val="0"/>
          <w:sz w:val="28"/>
          <w:szCs w:val="28"/>
          <w:lang w:val="en-US" w:eastAsia="zh-CN"/>
        </w:rPr>
        <w:t>奖</w:t>
      </w:r>
      <w:r>
        <w:rPr>
          <w:rFonts w:hint="default" w:ascii="宋体" w:hAnsi="宋体" w:eastAsia="宋体" w:cs="宋体"/>
          <w:b w:val="0"/>
          <w:bCs w:val="0"/>
          <w:sz w:val="28"/>
          <w:szCs w:val="28"/>
          <w:lang w:val="en-US" w:eastAsia="zh-CN"/>
        </w:rPr>
        <w:t>、三等</w:t>
      </w:r>
      <w:r>
        <w:rPr>
          <w:rFonts w:hint="eastAsia" w:ascii="宋体" w:hAnsi="宋体" w:eastAsia="宋体" w:cs="宋体"/>
          <w:b w:val="0"/>
          <w:bCs w:val="0"/>
          <w:sz w:val="28"/>
          <w:szCs w:val="28"/>
          <w:lang w:val="en-US" w:eastAsia="zh-CN"/>
        </w:rPr>
        <w:t>奖</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2023年</w:t>
      </w:r>
      <w:r>
        <w:rPr>
          <w:rFonts w:hint="default" w:ascii="宋体" w:hAnsi="宋体" w:eastAsia="宋体" w:cs="宋体"/>
          <w:b w:val="0"/>
          <w:bCs w:val="0"/>
          <w:sz w:val="28"/>
          <w:szCs w:val="28"/>
          <w:lang w:val="en-US" w:eastAsia="zh-CN"/>
        </w:rPr>
        <w:t>10月20日，湖南“红网云”县融运行成效座谈会</w:t>
      </w:r>
      <w:r>
        <w:rPr>
          <w:rFonts w:hint="eastAsia" w:ascii="宋体" w:hAnsi="宋体" w:eastAsia="宋体" w:cs="宋体"/>
          <w:b w:val="0"/>
          <w:bCs w:val="0"/>
          <w:sz w:val="28"/>
          <w:szCs w:val="28"/>
          <w:lang w:val="en-US" w:eastAsia="zh-CN"/>
        </w:rPr>
        <w:t>上，</w:t>
      </w:r>
      <w:r>
        <w:rPr>
          <w:rFonts w:hint="default" w:ascii="宋体" w:hAnsi="宋体" w:eastAsia="宋体" w:cs="宋体"/>
          <w:b w:val="0"/>
          <w:bCs w:val="0"/>
          <w:sz w:val="28"/>
          <w:szCs w:val="28"/>
          <w:lang w:val="en-US" w:eastAsia="zh-CN"/>
        </w:rPr>
        <w:t>主任方富贵被评为“融媒先锋人物”</w:t>
      </w:r>
      <w:r>
        <w:rPr>
          <w:rFonts w:hint="eastAsia" w:ascii="宋体" w:hAnsi="宋体" w:eastAsia="宋体" w:cs="宋体"/>
          <w:b w:val="0"/>
          <w:bCs w:val="0"/>
          <w:sz w:val="28"/>
          <w:szCs w:val="28"/>
          <w:lang w:val="en-US" w:eastAsia="zh-CN"/>
        </w:rPr>
        <w:t>。从评价情况来看绩效评价效果良好。</w:t>
      </w:r>
    </w:p>
    <w:p w14:paraId="1BAC967A">
      <w:pPr>
        <w:keepNext w:val="0"/>
        <w:keepLines w:val="0"/>
        <w:pageBreakBefore w:val="0"/>
        <w:kinsoku/>
        <w:overflowPunct/>
        <w:topLinePunct w:val="0"/>
        <w:autoSpaceDE/>
        <w:autoSpaceDN/>
        <w:bidi w:val="0"/>
        <w:spacing w:after="200" w:line="560" w:lineRule="atLeast"/>
        <w:ind w:firstLine="482" w:firstLineChars="150"/>
        <w:jc w:val="both"/>
        <w:textAlignment w:val="auto"/>
        <w:rPr>
          <w:rFonts w:hint="eastAsia" w:ascii="宋体" w:hAnsi="宋体" w:eastAsia="宋体" w:cs="宋体"/>
          <w:b/>
          <w:sz w:val="32"/>
          <w:szCs w:val="32"/>
        </w:rPr>
      </w:pPr>
      <w:r>
        <w:rPr>
          <w:rFonts w:hint="eastAsia" w:ascii="宋体" w:hAnsi="宋体" w:eastAsia="宋体" w:cs="宋体"/>
          <w:b/>
          <w:sz w:val="32"/>
          <w:szCs w:val="32"/>
        </w:rPr>
        <w:t>（一）基本支出</w:t>
      </w:r>
      <w:r>
        <w:rPr>
          <w:rFonts w:hint="eastAsia" w:ascii="宋体" w:hAnsi="宋体" w:eastAsia="宋体" w:cs="宋体"/>
          <w:b/>
          <w:sz w:val="32"/>
          <w:szCs w:val="32"/>
          <w:lang w:val="en-US" w:eastAsia="zh-CN"/>
        </w:rPr>
        <w:t>1893.46万</w:t>
      </w:r>
      <w:r>
        <w:rPr>
          <w:rFonts w:hint="eastAsia" w:ascii="宋体" w:hAnsi="宋体" w:eastAsia="宋体" w:cs="宋体"/>
          <w:b/>
          <w:sz w:val="32"/>
          <w:szCs w:val="32"/>
        </w:rPr>
        <w:t>元</w:t>
      </w:r>
    </w:p>
    <w:p w14:paraId="532B6A0C">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①人员经费1762.41万元，占基本支出的93.08%。</w:t>
      </w:r>
      <w:r>
        <w:rPr>
          <w:rFonts w:hint="eastAsia" w:ascii="宋体" w:hAnsi="宋体" w:eastAsia="宋体" w:cs="仿宋"/>
          <w:bCs/>
          <w:color w:val="auto"/>
          <w:kern w:val="2"/>
          <w:sz w:val="28"/>
          <w:szCs w:val="28"/>
          <w:lang w:val="en-US" w:eastAsia="zh-CN" w:bidi="ar-SA"/>
        </w:rPr>
        <w:t>主要包括基本工资、津贴补贴、奖金、伙食补助费、绩效工资、机关事业单位基本养老保险缴费、职工基本医疗保险缴费、其他社会保障缴费、住房公积金、对个人和家庭的补助、抚恤金等。</w:t>
      </w:r>
      <w:r>
        <w:rPr>
          <w:rFonts w:hint="eastAsia" w:ascii="宋体" w:hAnsi="宋体" w:eastAsia="宋体" w:cs="宋体"/>
          <w:sz w:val="28"/>
          <w:szCs w:val="28"/>
          <w:lang w:val="en-US" w:eastAsia="zh-CN"/>
        </w:rPr>
        <w:t>统发人员26人由财政工资统发中心实行统发，非统发人员工资由财政局预算股下达年初预算指标，再经台财务股实行发放，有效地保证了全体工作人员工资的发放。</w:t>
      </w:r>
    </w:p>
    <w:p w14:paraId="099E4131">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②日常公用经费131.06万元，占基本支出的6.92%。主要包括办公费、印刷费、水费、电费、维修（护）费、工会经费、其他交通费用等。</w:t>
      </w:r>
    </w:p>
    <w:p w14:paraId="2A179987">
      <w:pPr>
        <w:keepNext w:val="0"/>
        <w:keepLines w:val="0"/>
        <w:pageBreakBefore w:val="0"/>
        <w:numPr>
          <w:ilvl w:val="0"/>
          <w:numId w:val="2"/>
        </w:numPr>
        <w:kinsoku/>
        <w:overflowPunct/>
        <w:topLinePunct w:val="0"/>
        <w:autoSpaceDE/>
        <w:autoSpaceDN/>
        <w:bidi w:val="0"/>
        <w:spacing w:after="200" w:line="560" w:lineRule="atLeast"/>
        <w:ind w:firstLine="482" w:firstLineChars="150"/>
        <w:jc w:val="both"/>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eastAsia="zh-CN"/>
        </w:rPr>
        <w:t>项目支出</w:t>
      </w:r>
      <w:r>
        <w:rPr>
          <w:rFonts w:hint="eastAsia" w:ascii="宋体" w:hAnsi="宋体" w:eastAsia="宋体" w:cs="宋体"/>
          <w:b/>
          <w:sz w:val="32"/>
          <w:szCs w:val="32"/>
          <w:lang w:val="en-US" w:eastAsia="zh-CN"/>
        </w:rPr>
        <w:t>521.06万元</w:t>
      </w:r>
    </w:p>
    <w:p w14:paraId="2CDA2CC9">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2023年项目支出521.06万元。其中：</w:t>
      </w:r>
    </w:p>
    <w:p w14:paraId="0608C707">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1、记者节经费4万元，成功举办2023年记者节庆祝活动、并表彰优秀记者、优秀新闻工作者。</w:t>
      </w:r>
    </w:p>
    <w:p w14:paraId="042E1400">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2、文明城市栏目、新闻采编100万元，为常宁文明创建进行宣传报道，为新闻节目采编提供保障。</w:t>
      </w:r>
    </w:p>
    <w:p w14:paraId="628DDBFF">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3、村村响、乡镇广播站建设57万元，完成农村广播喇叭的购置和线路架设、维护，保障广播103.4频道的正常运转和播出，保障塔山无线数字电视信号发射及对农村有线电视线路的架设</w:t>
      </w:r>
    </w:p>
    <w:p w14:paraId="30D250B1">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4、常宁报经费64万元，保障常宁报的发行及宣传我市经济发展。</w:t>
      </w:r>
    </w:p>
    <w:p w14:paraId="03C0B977">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5、红网常宁分部维护费1.6万元，保障红网常宁分站正常运转。</w:t>
      </w:r>
    </w:p>
    <w:p w14:paraId="34852A4D">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6、软件平台项目维护费54.41万元，更好地实现媒体融合。</w:t>
      </w:r>
    </w:p>
    <w:p w14:paraId="068F8408">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其他经费240.05万元，主要包括财政补助地方公共文化服务体系建设资金7.82万元、广播电视节目无线覆盖运行维护费9.09万元、广电事业发展资金8万元、农村广播用电电费15万元、文化交流活动经费10万元、城乡治理标准化与文明城市创建资10万元、其他收入126万元、非税收入52.5万元等，我中心主要用于保障单位正常运转、农村广播喇叭的购置和维护、村村响正常运转、演播厅升级改造以及一些亟需更新换代的采编播设备进行更新、升级换代。</w:t>
      </w:r>
    </w:p>
    <w:p w14:paraId="543B776C">
      <w:pPr>
        <w:pStyle w:val="9"/>
        <w:keepNext w:val="0"/>
        <w:keepLines w:val="0"/>
        <w:pageBreakBefore w:val="0"/>
        <w:numPr>
          <w:ilvl w:val="0"/>
          <w:numId w:val="0"/>
        </w:numPr>
        <w:kinsoku/>
        <w:overflowPunct/>
        <w:topLinePunct w:val="0"/>
        <w:autoSpaceDE/>
        <w:autoSpaceDN/>
        <w:bidi w:val="0"/>
        <w:spacing w:after="200" w:line="560" w:lineRule="atLeast"/>
        <w:ind w:left="645" w:leftChars="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评价过程及绩效分析</w:t>
      </w:r>
    </w:p>
    <w:p w14:paraId="58658BBF">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常宁市融媒体中心认真落实国家、省、市及主管部门的指示精神，</w:t>
      </w:r>
      <w:r>
        <w:rPr>
          <w:rFonts w:hint="default" w:ascii="宋体" w:hAnsi="宋体" w:eastAsia="宋体" w:cs="宋体"/>
          <w:color w:val="auto"/>
          <w:sz w:val="28"/>
          <w:szCs w:val="28"/>
          <w:lang w:val="en-US" w:eastAsia="zh-CN"/>
        </w:rPr>
        <w:t>参考《湖南省财政厅关于印发&lt;湖南省预算支出绩效评价管理办法&gt;的通知》（湘财绩〔2020〕7号）的要求和相关政策规定，</w:t>
      </w:r>
      <w:r>
        <w:rPr>
          <w:rFonts w:hint="eastAsia" w:ascii="宋体" w:hAnsi="宋体" w:eastAsia="宋体" w:cs="宋体"/>
          <w:color w:val="auto"/>
          <w:sz w:val="28"/>
          <w:szCs w:val="28"/>
          <w:lang w:val="en-US" w:eastAsia="zh-CN"/>
        </w:rPr>
        <w:t>我部门组织对2023年度我中心从预算编制、预算配置、固定资产管理、职责履行及各项指标完成情况等方面全面开展绩效自评，其中，一级项目6个，共涉及资金281.01万元；二级项目0个，共涉及资金0万元。</w:t>
      </w:r>
    </w:p>
    <w:p w14:paraId="05BE68C7">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组织对“常宁报经费”“文明城市栏目、新</w:t>
      </w:r>
      <w:bookmarkStart w:id="0" w:name="_GoBack"/>
      <w:bookmarkEnd w:id="0"/>
      <w:r>
        <w:rPr>
          <w:rFonts w:hint="eastAsia" w:ascii="宋体" w:hAnsi="宋体" w:eastAsia="宋体" w:cs="宋体"/>
          <w:color w:val="auto"/>
          <w:sz w:val="28"/>
          <w:szCs w:val="28"/>
          <w:lang w:val="en-US" w:eastAsia="zh-CN"/>
        </w:rPr>
        <w:t>闻采编”等6个项目开展了部门评价，涉及一般公共预算支出281.01万元，政府性基金预算支出0万元，国有资本经营预算支出0万元。从评价情况来看，资金管理合理合规，资产管理按政策及时登记、及时清理、责任到位，坚持以“量入为出、量力而行，收支平衡”的原则，加强财政资金管理，强化支出责任。通过加强预算收支管理，不断建立健全内部管理制度，梳理内部管理流程，部门整体支出管理水平得到提升，社会效益和经济效益明显。完成了年初计划的各项工作，严格遵守市财政局经费来源和分配、管理使用原则，规范账户管理，严格遵守支出审批手续，严格财务内审和监督制度，严格按照财务管理制度照章办事，没有发生违反财经纪律，违反财务管理制度的情况。</w:t>
      </w:r>
    </w:p>
    <w:p w14:paraId="37503C4F">
      <w:pPr>
        <w:pStyle w:val="9"/>
        <w:keepNext w:val="0"/>
        <w:keepLines w:val="0"/>
        <w:pageBreakBefore w:val="0"/>
        <w:numPr>
          <w:ilvl w:val="0"/>
          <w:numId w:val="0"/>
        </w:numPr>
        <w:kinsoku/>
        <w:overflowPunct/>
        <w:topLinePunct w:val="0"/>
        <w:autoSpaceDE/>
        <w:autoSpaceDN/>
        <w:bidi w:val="0"/>
        <w:spacing w:after="200" w:line="560" w:lineRule="atLeast"/>
        <w:ind w:left="645" w:leftChars="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六、存在的问题</w:t>
      </w:r>
    </w:p>
    <w:p w14:paraId="710C20B0">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一是融媒体中心专业设备与现实需要相比，都比较陈旧，亟需进行更新、升级换代。</w:t>
      </w:r>
    </w:p>
    <w:p w14:paraId="0001C79D">
      <w:pPr>
        <w:keepNext w:val="0"/>
        <w:keepLines w:val="0"/>
        <w:pageBreakBefore w:val="0"/>
        <w:kinsoku/>
        <w:overflowPunct/>
        <w:topLinePunct w:val="0"/>
        <w:autoSpaceDE/>
        <w:autoSpaceDN/>
        <w:bidi w:val="0"/>
        <w:spacing w:after="200" w:line="560" w:lineRule="atLeast"/>
        <w:ind w:firstLine="645"/>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二是基本支出预算不足，日常公用经费缺口大，每年需用部分专项经费弥补基本支出不足部分。</w:t>
      </w:r>
    </w:p>
    <w:p w14:paraId="6968E39C">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预算编制前根据年度内单位可预见的工作任务，确定了单位年度预算目标，细化了预算指标，但是在实际支付过程中，个别时候未严格按照预算指标执行，进一步加强预算编制和执行管理，科学有效地安排各项资金支出进度，不断提高单位整体支出的经济性、效益性、有效性和可持续性。</w:t>
      </w:r>
    </w:p>
    <w:p w14:paraId="2C2C3A4A">
      <w:pPr>
        <w:pStyle w:val="9"/>
        <w:keepNext w:val="0"/>
        <w:keepLines w:val="0"/>
        <w:pageBreakBefore w:val="0"/>
        <w:numPr>
          <w:ilvl w:val="0"/>
          <w:numId w:val="0"/>
        </w:numPr>
        <w:kinsoku/>
        <w:overflowPunct/>
        <w:topLinePunct w:val="0"/>
        <w:autoSpaceDE/>
        <w:autoSpaceDN/>
        <w:bidi w:val="0"/>
        <w:spacing w:after="200" w:line="560" w:lineRule="atLeast"/>
        <w:ind w:left="645" w:leftChars="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七、</w:t>
      </w:r>
      <w:r>
        <w:rPr>
          <w:rFonts w:hint="eastAsia" w:ascii="宋体" w:hAnsi="宋体" w:eastAsia="宋体" w:cs="宋体"/>
          <w:b/>
          <w:bCs/>
          <w:color w:val="auto"/>
          <w:sz w:val="32"/>
          <w:szCs w:val="32"/>
        </w:rPr>
        <w:t>有关建议</w:t>
      </w:r>
    </w:p>
    <w:p w14:paraId="0452785D">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建议继续加大对常宁市融媒体中心的经费投入，特别是部分采编播设备需要更新换代。</w:t>
      </w:r>
    </w:p>
    <w:p w14:paraId="0895E4C6">
      <w:pPr>
        <w:pStyle w:val="9"/>
        <w:keepNext w:val="0"/>
        <w:keepLines w:val="0"/>
        <w:pageBreakBefore w:val="0"/>
        <w:numPr>
          <w:ilvl w:val="0"/>
          <w:numId w:val="0"/>
        </w:numPr>
        <w:kinsoku/>
        <w:overflowPunct/>
        <w:topLinePunct w:val="0"/>
        <w:autoSpaceDE/>
        <w:autoSpaceDN/>
        <w:bidi w:val="0"/>
        <w:spacing w:after="200" w:line="560" w:lineRule="atLeast"/>
        <w:textAlignment w:val="auto"/>
        <w:rPr>
          <w:rFonts w:hint="eastAsia" w:ascii="宋体" w:hAnsi="宋体" w:eastAsia="宋体" w:cs="宋体"/>
          <w:b/>
          <w:sz w:val="28"/>
          <w:szCs w:val="28"/>
        </w:rPr>
      </w:pPr>
    </w:p>
    <w:p w14:paraId="532E5AE3">
      <w:pPr>
        <w:pStyle w:val="9"/>
        <w:keepNext w:val="0"/>
        <w:keepLines w:val="0"/>
        <w:pageBreakBefore w:val="0"/>
        <w:kinsoku/>
        <w:overflowPunct/>
        <w:topLinePunct w:val="0"/>
        <w:autoSpaceDE/>
        <w:autoSpaceDN/>
        <w:bidi w:val="0"/>
        <w:spacing w:after="200" w:line="560" w:lineRule="atLeast"/>
        <w:ind w:left="0" w:leftChars="0" w:firstLine="0" w:firstLineChars="0"/>
        <w:textAlignment w:val="auto"/>
        <w:rPr>
          <w:rFonts w:hint="eastAsia" w:ascii="宋体" w:hAnsi="宋体" w:eastAsia="宋体" w:cs="宋体"/>
          <w:sz w:val="28"/>
          <w:szCs w:val="28"/>
        </w:rPr>
      </w:pPr>
    </w:p>
    <w:p w14:paraId="65C11E63">
      <w:pPr>
        <w:pStyle w:val="9"/>
        <w:keepNext w:val="0"/>
        <w:keepLines w:val="0"/>
        <w:pageBreakBefore w:val="0"/>
        <w:kinsoku/>
        <w:overflowPunct/>
        <w:topLinePunct w:val="0"/>
        <w:autoSpaceDE/>
        <w:autoSpaceDN/>
        <w:bidi w:val="0"/>
        <w:spacing w:after="200" w:line="560" w:lineRule="atLeast"/>
        <w:ind w:left="0" w:leftChars="0" w:firstLine="0" w:firstLineChars="0"/>
        <w:textAlignment w:val="auto"/>
        <w:rPr>
          <w:rFonts w:hint="eastAsia" w:ascii="宋体" w:hAnsi="宋体" w:eastAsia="宋体" w:cs="宋体"/>
          <w:sz w:val="28"/>
          <w:szCs w:val="28"/>
        </w:rPr>
      </w:pPr>
    </w:p>
    <w:p w14:paraId="3E7B7104">
      <w:pPr>
        <w:pStyle w:val="9"/>
        <w:keepNext w:val="0"/>
        <w:keepLines w:val="0"/>
        <w:pageBreakBefore w:val="0"/>
        <w:kinsoku/>
        <w:overflowPunct/>
        <w:topLinePunct w:val="0"/>
        <w:autoSpaceDE/>
        <w:autoSpaceDN/>
        <w:bidi w:val="0"/>
        <w:spacing w:after="200" w:line="560" w:lineRule="atLeast"/>
        <w:ind w:left="0" w:leftChars="0" w:firstLine="0" w:firstLineChars="0"/>
        <w:textAlignment w:val="auto"/>
        <w:rPr>
          <w:rFonts w:hint="eastAsia" w:ascii="宋体" w:hAnsi="宋体" w:eastAsia="宋体" w:cs="宋体"/>
          <w:sz w:val="28"/>
          <w:szCs w:val="28"/>
        </w:rPr>
      </w:pPr>
    </w:p>
    <w:p w14:paraId="4457EB55">
      <w:pPr>
        <w:pStyle w:val="9"/>
        <w:keepNext w:val="0"/>
        <w:keepLines w:val="0"/>
        <w:pageBreakBefore w:val="0"/>
        <w:kinsoku/>
        <w:overflowPunct/>
        <w:topLinePunct w:val="0"/>
        <w:autoSpaceDE/>
        <w:autoSpaceDN/>
        <w:bidi w:val="0"/>
        <w:spacing w:after="200" w:line="560" w:lineRule="atLeast"/>
        <w:ind w:left="0" w:leftChars="0" w:firstLine="0" w:firstLineChars="0"/>
        <w:textAlignment w:val="auto"/>
        <w:rPr>
          <w:rFonts w:hint="eastAsia" w:ascii="宋体" w:hAnsi="宋体" w:eastAsia="宋体" w:cs="宋体"/>
          <w:sz w:val="28"/>
          <w:szCs w:val="28"/>
        </w:rPr>
      </w:pPr>
    </w:p>
    <w:p w14:paraId="001266A5">
      <w:pPr>
        <w:pStyle w:val="9"/>
        <w:keepNext w:val="0"/>
        <w:keepLines w:val="0"/>
        <w:pageBreakBefore w:val="0"/>
        <w:kinsoku/>
        <w:overflowPunct/>
        <w:topLinePunct w:val="0"/>
        <w:autoSpaceDE/>
        <w:autoSpaceDN/>
        <w:bidi w:val="0"/>
        <w:spacing w:after="200" w:line="560" w:lineRule="atLeast"/>
        <w:ind w:left="1545" w:firstLine="0" w:firstLineChars="0"/>
        <w:textAlignment w:val="auto"/>
        <w:rPr>
          <w:rFonts w:hint="eastAsia" w:ascii="宋体" w:hAnsi="宋体" w:eastAsia="宋体" w:cs="宋体"/>
          <w:sz w:val="28"/>
          <w:szCs w:val="28"/>
        </w:rPr>
      </w:pPr>
    </w:p>
    <w:p w14:paraId="396529FB">
      <w:pPr>
        <w:pStyle w:val="9"/>
        <w:keepNext w:val="0"/>
        <w:keepLines w:val="0"/>
        <w:pageBreakBefore w:val="0"/>
        <w:tabs>
          <w:tab w:val="left" w:pos="5503"/>
        </w:tabs>
        <w:kinsoku/>
        <w:overflowPunct/>
        <w:topLinePunct w:val="0"/>
        <w:autoSpaceDE/>
        <w:autoSpaceDN/>
        <w:bidi w:val="0"/>
        <w:spacing w:after="200" w:line="560" w:lineRule="atLeast"/>
        <w:ind w:firstLine="5600" w:firstLineChars="20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常宁市融媒体中心</w:t>
      </w:r>
    </w:p>
    <w:p w14:paraId="545D5689">
      <w:pPr>
        <w:keepNext w:val="0"/>
        <w:keepLines w:val="0"/>
        <w:pageBreakBefore w:val="0"/>
        <w:widowControl/>
        <w:tabs>
          <w:tab w:val="left" w:pos="5950"/>
          <w:tab w:val="right" w:pos="8306"/>
        </w:tabs>
        <w:kinsoku/>
        <w:wordWrap/>
        <w:overflowPunct/>
        <w:topLinePunct w:val="0"/>
        <w:bidi w:val="0"/>
        <w:adjustRightInd w:val="0"/>
        <w:snapToGrid w:val="0"/>
        <w:spacing w:line="560" w:lineRule="exact"/>
        <w:ind w:firstLine="5600" w:firstLineChars="2000"/>
        <w:jc w:val="left"/>
        <w:textAlignment w:val="auto"/>
        <w:rPr>
          <w:rFonts w:ascii="宋体" w:hAnsi="宋体" w:cs="仿宋"/>
          <w:bCs/>
          <w:sz w:val="28"/>
          <w:szCs w:val="28"/>
        </w:rPr>
      </w:pPr>
      <w:r>
        <w:rPr>
          <w:rFonts w:hint="eastAsia" w:ascii="宋体" w:hAnsi="宋体" w:cs="仿宋"/>
          <w:bCs/>
          <w:sz w:val="28"/>
          <w:szCs w:val="28"/>
          <w:lang w:val="en-US" w:eastAsia="zh-CN"/>
        </w:rPr>
        <w:t>2024</w:t>
      </w:r>
      <w:r>
        <w:rPr>
          <w:rFonts w:hint="eastAsia" w:ascii="宋体" w:hAnsi="宋体" w:cs="仿宋"/>
          <w:bCs/>
          <w:sz w:val="28"/>
          <w:szCs w:val="28"/>
        </w:rPr>
        <w:t>年</w:t>
      </w:r>
      <w:r>
        <w:rPr>
          <w:rFonts w:hint="eastAsia" w:ascii="宋体" w:hAnsi="宋体" w:cs="仿宋"/>
          <w:bCs/>
          <w:sz w:val="28"/>
          <w:szCs w:val="28"/>
          <w:lang w:val="en-US" w:eastAsia="zh-CN"/>
        </w:rPr>
        <w:t xml:space="preserve"> 8</w:t>
      </w:r>
      <w:r>
        <w:rPr>
          <w:rFonts w:hint="eastAsia" w:ascii="宋体" w:hAnsi="宋体" w:cs="仿宋"/>
          <w:bCs/>
          <w:sz w:val="28"/>
          <w:szCs w:val="28"/>
        </w:rPr>
        <w:t>月</w:t>
      </w:r>
      <w:r>
        <w:rPr>
          <w:rFonts w:hint="eastAsia" w:ascii="宋体" w:hAnsi="宋体" w:cs="仿宋"/>
          <w:bCs/>
          <w:sz w:val="28"/>
          <w:szCs w:val="28"/>
          <w:lang w:val="en-US" w:eastAsia="zh-CN"/>
        </w:rPr>
        <w:t xml:space="preserve"> 29 </w:t>
      </w:r>
      <w:r>
        <w:rPr>
          <w:rFonts w:hint="eastAsia" w:ascii="宋体" w:hAnsi="宋体" w:cs="仿宋"/>
          <w:bCs/>
          <w:sz w:val="28"/>
          <w:szCs w:val="28"/>
        </w:rPr>
        <w:t>日</w:t>
      </w:r>
    </w:p>
    <w:p w14:paraId="1DF01E9B">
      <w:pPr>
        <w:pStyle w:val="9"/>
        <w:keepNext w:val="0"/>
        <w:keepLines w:val="0"/>
        <w:pageBreakBefore w:val="0"/>
        <w:kinsoku/>
        <w:wordWrap w:val="0"/>
        <w:overflowPunct/>
        <w:topLinePunct w:val="0"/>
        <w:autoSpaceDE/>
        <w:autoSpaceDN/>
        <w:bidi w:val="0"/>
        <w:spacing w:after="200" w:line="560" w:lineRule="atLeast"/>
        <w:ind w:left="1545" w:firstLine="0" w:firstLineChars="0"/>
        <w:jc w:val="center"/>
        <w:textAlignment w:val="auto"/>
        <w:rPr>
          <w:rFonts w:hint="eastAsia" w:ascii="宋体" w:hAnsi="宋体" w:eastAsia="宋体" w:cs="宋体"/>
          <w:sz w:val="28"/>
          <w:szCs w:val="28"/>
          <w:lang w:val="en-US" w:eastAsia="zh-CN"/>
        </w:rPr>
      </w:pPr>
    </w:p>
    <w:p w14:paraId="514A1728">
      <w:pPr>
        <w:pStyle w:val="9"/>
        <w:keepNext w:val="0"/>
        <w:keepLines w:val="0"/>
        <w:pageBreakBefore w:val="0"/>
        <w:kinsoku/>
        <w:wordWrap w:val="0"/>
        <w:overflowPunct/>
        <w:topLinePunct w:val="0"/>
        <w:autoSpaceDE/>
        <w:autoSpaceDN/>
        <w:bidi w:val="0"/>
        <w:spacing w:after="200" w:line="560" w:lineRule="atLeast"/>
        <w:ind w:left="1545" w:firstLine="0" w:firstLineChars="0"/>
        <w:jc w:val="right"/>
        <w:textAlignment w:val="auto"/>
        <w:rPr>
          <w:rFonts w:hint="eastAsia" w:ascii="宋体" w:hAnsi="宋体" w:eastAsia="宋体" w:cs="宋体"/>
          <w:sz w:val="28"/>
          <w:szCs w:val="28"/>
          <w:lang w:val="en-US" w:eastAsia="zh-CN"/>
        </w:rPr>
      </w:pPr>
    </w:p>
    <w:p w14:paraId="63F18B53">
      <w:pPr>
        <w:pStyle w:val="9"/>
        <w:keepNext w:val="0"/>
        <w:keepLines w:val="0"/>
        <w:pageBreakBefore w:val="0"/>
        <w:kinsoku/>
        <w:wordWrap w:val="0"/>
        <w:overflowPunct/>
        <w:topLinePunct w:val="0"/>
        <w:autoSpaceDE/>
        <w:autoSpaceDN/>
        <w:bidi w:val="0"/>
        <w:spacing w:after="200" w:line="560" w:lineRule="atLeast"/>
        <w:ind w:left="0" w:leftChars="0" w:firstLine="0" w:firstLineChars="0"/>
        <w:jc w:val="both"/>
        <w:textAlignment w:val="auto"/>
        <w:rPr>
          <w:rFonts w:ascii="仿宋" w:hAnsi="仿宋" w:eastAsia="仿宋"/>
          <w:sz w:val="32"/>
          <w:szCs w:val="32"/>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5155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483D5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B483D5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61673"/>
    <w:multiLevelType w:val="singleLevel"/>
    <w:tmpl w:val="F2F61673"/>
    <w:lvl w:ilvl="0" w:tentative="0">
      <w:start w:val="2"/>
      <w:numFmt w:val="chineseCounting"/>
      <w:suff w:val="nothing"/>
      <w:lvlText w:val="（%1）"/>
      <w:lvlJc w:val="left"/>
      <w:rPr>
        <w:rFonts w:hint="eastAsia"/>
      </w:rPr>
    </w:lvl>
  </w:abstractNum>
  <w:abstractNum w:abstractNumId="1">
    <w:nsid w:val="09D14CA0"/>
    <w:multiLevelType w:val="multilevel"/>
    <w:tmpl w:val="09D14CA0"/>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MmFjNWVmYTRhY2Q0M2I1OGRhN2MwNDI2M2ZlMTUifQ=="/>
  </w:docVars>
  <w:rsids>
    <w:rsidRoot w:val="00D31D50"/>
    <w:rsid w:val="00323B43"/>
    <w:rsid w:val="00354673"/>
    <w:rsid w:val="003751B1"/>
    <w:rsid w:val="003D37D8"/>
    <w:rsid w:val="00426133"/>
    <w:rsid w:val="004358AB"/>
    <w:rsid w:val="00446436"/>
    <w:rsid w:val="00484518"/>
    <w:rsid w:val="00706719"/>
    <w:rsid w:val="008B7726"/>
    <w:rsid w:val="00AD68BE"/>
    <w:rsid w:val="00C210DA"/>
    <w:rsid w:val="00D31D50"/>
    <w:rsid w:val="00DB2569"/>
    <w:rsid w:val="00E5676D"/>
    <w:rsid w:val="010A6FDB"/>
    <w:rsid w:val="018C4B65"/>
    <w:rsid w:val="027B21CC"/>
    <w:rsid w:val="03671E90"/>
    <w:rsid w:val="042042C5"/>
    <w:rsid w:val="045A50B5"/>
    <w:rsid w:val="04BD7D66"/>
    <w:rsid w:val="059F400B"/>
    <w:rsid w:val="09253927"/>
    <w:rsid w:val="0BC47C2C"/>
    <w:rsid w:val="0D9D5CD2"/>
    <w:rsid w:val="14067033"/>
    <w:rsid w:val="164E4CC1"/>
    <w:rsid w:val="17321B46"/>
    <w:rsid w:val="17962AB4"/>
    <w:rsid w:val="187F3D26"/>
    <w:rsid w:val="18881BC8"/>
    <w:rsid w:val="18C80D5B"/>
    <w:rsid w:val="18CB702C"/>
    <w:rsid w:val="18EC3796"/>
    <w:rsid w:val="1C412618"/>
    <w:rsid w:val="1C5959EE"/>
    <w:rsid w:val="1F794EB1"/>
    <w:rsid w:val="22734880"/>
    <w:rsid w:val="250D391A"/>
    <w:rsid w:val="250F2385"/>
    <w:rsid w:val="27F71870"/>
    <w:rsid w:val="2AC62C21"/>
    <w:rsid w:val="2B9916D5"/>
    <w:rsid w:val="2BB6454A"/>
    <w:rsid w:val="2C432EEE"/>
    <w:rsid w:val="2C6F4E84"/>
    <w:rsid w:val="2EFA10EB"/>
    <w:rsid w:val="2F300FB0"/>
    <w:rsid w:val="305D21F5"/>
    <w:rsid w:val="31280191"/>
    <w:rsid w:val="32A55567"/>
    <w:rsid w:val="35F116BA"/>
    <w:rsid w:val="38760078"/>
    <w:rsid w:val="41DA45F3"/>
    <w:rsid w:val="43A062AD"/>
    <w:rsid w:val="448B270B"/>
    <w:rsid w:val="47207E67"/>
    <w:rsid w:val="49536948"/>
    <w:rsid w:val="49596014"/>
    <w:rsid w:val="49E05655"/>
    <w:rsid w:val="4B9E1ADA"/>
    <w:rsid w:val="4C1B1493"/>
    <w:rsid w:val="4CB132D9"/>
    <w:rsid w:val="4CD7772F"/>
    <w:rsid w:val="4D3604F8"/>
    <w:rsid w:val="516E79EA"/>
    <w:rsid w:val="52970DB9"/>
    <w:rsid w:val="53872838"/>
    <w:rsid w:val="545C3B2A"/>
    <w:rsid w:val="553C6E10"/>
    <w:rsid w:val="564231F4"/>
    <w:rsid w:val="57976F63"/>
    <w:rsid w:val="57B36157"/>
    <w:rsid w:val="58B71C77"/>
    <w:rsid w:val="59034EBC"/>
    <w:rsid w:val="5AED1980"/>
    <w:rsid w:val="5CE9351A"/>
    <w:rsid w:val="64334B7D"/>
    <w:rsid w:val="64960006"/>
    <w:rsid w:val="66984177"/>
    <w:rsid w:val="67A13E8F"/>
    <w:rsid w:val="684C53AD"/>
    <w:rsid w:val="6A757C9B"/>
    <w:rsid w:val="6AC36622"/>
    <w:rsid w:val="6AF55B14"/>
    <w:rsid w:val="6B61713F"/>
    <w:rsid w:val="6C6B6BA9"/>
    <w:rsid w:val="6C8A7515"/>
    <w:rsid w:val="6DA50EF4"/>
    <w:rsid w:val="6F305FC0"/>
    <w:rsid w:val="6F9A6508"/>
    <w:rsid w:val="6FBE21DB"/>
    <w:rsid w:val="6FF05154"/>
    <w:rsid w:val="70335C2F"/>
    <w:rsid w:val="703A38E8"/>
    <w:rsid w:val="712612F0"/>
    <w:rsid w:val="75A63C17"/>
    <w:rsid w:val="75CC1433"/>
    <w:rsid w:val="774424D0"/>
    <w:rsid w:val="7A7F2FC2"/>
    <w:rsid w:val="7CE95C6B"/>
    <w:rsid w:val="7CF62BB7"/>
    <w:rsid w:val="7F22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3065</Words>
  <Characters>3319</Characters>
  <Lines>9</Lines>
  <Paragraphs>2</Paragraphs>
  <TotalTime>112</TotalTime>
  <ScaleCrop>false</ScaleCrop>
  <LinksUpToDate>false</LinksUpToDate>
  <CharactersWithSpaces>3326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2024-08-20T00:11:35Z</cp:lastPrinted>
  <dcterms:modified xsi:type="dcterms:W3CDTF">2024-08-20T03:07:45Z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D745363F90CB4455B9094BB7C47BED53_13</vt:lpwstr>
  </property>
</Properties>
</file>