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419B9"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 w14:paraId="69C39181"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 w14:paraId="21223A6B"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  <w:lang w:eastAsia="zh-CN"/>
        </w:rPr>
        <w:t>常宁市</w:t>
      </w:r>
      <w:r>
        <w:rPr>
          <w:rFonts w:hint="eastAsia"/>
          <w:b/>
          <w:color w:val="333333"/>
          <w:sz w:val="44"/>
          <w:szCs w:val="44"/>
        </w:rPr>
        <w:t>西岭镇人民政府20</w:t>
      </w:r>
      <w:r>
        <w:rPr>
          <w:rFonts w:hint="eastAsia"/>
          <w:b/>
          <w:color w:val="333333"/>
          <w:sz w:val="44"/>
          <w:szCs w:val="44"/>
          <w:lang w:val="en-US" w:eastAsia="zh-CN"/>
        </w:rPr>
        <w:t>23</w:t>
      </w:r>
      <w:r>
        <w:rPr>
          <w:rFonts w:hint="eastAsia"/>
          <w:b/>
          <w:color w:val="333333"/>
          <w:sz w:val="44"/>
          <w:szCs w:val="44"/>
        </w:rPr>
        <w:t>年部门整体支出绩效自评报告</w:t>
      </w:r>
    </w:p>
    <w:p w14:paraId="20FCE96F">
      <w:pPr>
        <w:pStyle w:val="4"/>
        <w:spacing w:before="0" w:beforeAutospacing="0" w:after="0" w:afterAutospacing="0" w:line="480" w:lineRule="auto"/>
        <w:ind w:firstLine="480"/>
        <w:jc w:val="center"/>
        <w:rPr>
          <w:rFonts w:hint="eastAsia"/>
          <w:b/>
          <w:color w:val="333333"/>
          <w:sz w:val="44"/>
          <w:szCs w:val="44"/>
        </w:rPr>
      </w:pPr>
    </w:p>
    <w:p w14:paraId="09D89FB8"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为进一步加强财政支出的监督管理，规范支出预算执行，提高财政资金使用效益，全面推进预算绩效管理，我镇对20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年度财政性资金整体使用情况进行了绩效自评，现将有关情况报告如下：</w:t>
      </w:r>
    </w:p>
    <w:p w14:paraId="1F3D515D">
      <w:pPr>
        <w:pStyle w:val="4"/>
        <w:spacing w:before="0" w:beforeAutospacing="0" w:after="0" w:afterAutospacing="0" w:line="480" w:lineRule="auto"/>
        <w:ind w:firstLine="480" w:firstLineChars="15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 w14:paraId="6E0EEFEC">
      <w:pPr>
        <w:pStyle w:val="4"/>
        <w:numPr>
          <w:ilvl w:val="0"/>
          <w:numId w:val="0"/>
        </w:numPr>
        <w:spacing w:before="0" w:beforeAutospacing="0" w:after="0" w:afterAutospacing="0" w:line="480" w:lineRule="auto"/>
        <w:ind w:left="426" w:leftChars="0"/>
        <w:jc w:val="both"/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部门概况</w:t>
      </w:r>
    </w:p>
    <w:p w14:paraId="0B9F8D61">
      <w:pPr>
        <w:widowControl/>
        <w:shd w:val="clear" w:color="auto" w:fill="FFFFFF"/>
        <w:spacing w:line="360" w:lineRule="atLeast"/>
        <w:ind w:firstLine="555"/>
        <w:jc w:val="left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0"/>
          <w:szCs w:val="30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、部门设置。根据编委核定本单位内设处室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个，所属事业单位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个。其中：内设处室分别是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党政综合办公室、农业综合服务中心、政务服务中心、社会事务综合服务中心、综合行政执法大队、自然资源和生态环境办公室。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        </w:t>
      </w:r>
    </w:p>
    <w:p w14:paraId="1F007113">
      <w:pPr>
        <w:widowControl/>
        <w:shd w:val="clear" w:color="auto" w:fill="FFFFFF"/>
        <w:spacing w:line="360" w:lineRule="atLeast"/>
        <w:ind w:firstLine="555"/>
        <w:jc w:val="left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2、人员情况。本部门编制数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人，在职人数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人，其中在岗人数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73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人；离退休人数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 xml:space="preserve">人，其中离休人员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人、退休人员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16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人。</w:t>
      </w:r>
    </w:p>
    <w:p w14:paraId="41F5FAA2">
      <w:pPr>
        <w:pStyle w:val="4"/>
        <w:shd w:val="clear" w:color="auto" w:fill="FFFFFF"/>
        <w:spacing w:line="480" w:lineRule="auto"/>
        <w:jc w:val="both"/>
        <w:rPr>
          <w:rFonts w:hint="eastAsia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  <w:lang w:val="en-US" w:eastAsia="zh-CN"/>
        </w:rPr>
        <w:t>、部门职责</w:t>
      </w:r>
    </w:p>
    <w:p w14:paraId="6F69C9D3">
      <w:pPr>
        <w:widowControl/>
        <w:spacing w:line="600" w:lineRule="exact"/>
        <w:ind w:firstLine="560" w:firstLineChars="200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常宁市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人民政府内设机构包括：根据政府职责，</w:t>
      </w:r>
      <w:r>
        <w:rPr>
          <w:rFonts w:hint="eastAsia" w:ascii="宋体" w:hAnsi="宋体"/>
          <w:bCs/>
          <w:kern w:val="0"/>
          <w:sz w:val="28"/>
          <w:szCs w:val="28"/>
          <w:lang w:eastAsia="zh-CN"/>
        </w:rPr>
        <w:t>西岭镇</w:t>
      </w:r>
      <w:r>
        <w:rPr>
          <w:rFonts w:ascii="宋体" w:hAnsi="宋体"/>
          <w:bCs/>
          <w:kern w:val="0"/>
          <w:sz w:val="28"/>
          <w:szCs w:val="28"/>
        </w:rPr>
        <w:t>人民政府设以下内设机构：</w:t>
      </w:r>
    </w:p>
    <w:p w14:paraId="08092DEB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一）党政综合办公室（统计办公室）。承担党委、政府日常事务，负责基层宣传工作、统战工作。负责综合协调、统计报表、督查考核、文秘信息、保密档案、重要会务及机关行政后勤管理等工作。负责工会、共青团、妇联等群众团体工作。</w:t>
      </w:r>
    </w:p>
    <w:p w14:paraId="4419CA5C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（二）经济发展办公室（农业农村和</w:t>
      </w:r>
      <w:r>
        <w:rPr>
          <w:rFonts w:hint="eastAsia" w:ascii="宋体" w:hAnsi="宋体"/>
          <w:bCs/>
          <w:kern w:val="0"/>
          <w:sz w:val="28"/>
          <w:szCs w:val="28"/>
        </w:rPr>
        <w:t>乡</w:t>
      </w:r>
      <w:r>
        <w:rPr>
          <w:rFonts w:ascii="宋体" w:hAnsi="宋体"/>
          <w:bCs/>
          <w:kern w:val="0"/>
          <w:sz w:val="28"/>
          <w:szCs w:val="28"/>
        </w:rPr>
        <w:t>村振兴工作办公室）。负责拟订经济社会发展规划。负责产业发展、公共基础设施和市政基础设施建设、商贸流通和农作物经济、水利建设与管理、扶贫开发、动物防疫及乡村振兴等工作。承担市场监管有关方面的指导协调职责。</w:t>
      </w:r>
    </w:p>
    <w:p w14:paraId="54EB6D4A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（三）社会事务办公室。负责民政、残联、社会保障、文化旅游、科技教育、卫生健康、民族宗教、退役军人、医疗保障等社会事务管理工作。</w:t>
      </w:r>
    </w:p>
    <w:p w14:paraId="5D1299C4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（四）自然资源和生态环境办公室（村镇建设管理办公室）。负责拟订并实施村镇规划，指导实施国土资源、林政管理、造林绿化、生态环境保护等工作，组织协调环境污染事故与生态破坏事件查处。</w:t>
      </w:r>
    </w:p>
    <w:p w14:paraId="634D82D8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（五）社会治安综合治理和应急管理办公室。负责社会治安综合治理、信访维稳等工作，指导协调民事纠纷调解处理和社区矫正工作；负责安全生产监管、防汛抗旱、减灾、抗震救灾、森林防火等工作。</w:t>
      </w:r>
    </w:p>
    <w:p w14:paraId="7EAD2582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六）基层党建工作办公室。负责基层党建工作的组织推动、业务指导、督促落实和综合协调等工作。负责基层党组织设置和党员队伍的教育管理，指导村（社区）加强党组织阵地建设。负责基层党的代表大会，选举党代表及党代表日常管理服务工作。负责村（社区）干部队伍和后备干部队伍建设，指导村（社区）开展“两委”换届选举工作。负责基层党风廉</w:t>
      </w:r>
      <w:r>
        <w:rPr>
          <w:rFonts w:hint="eastAsia" w:ascii="宋体" w:hAnsi="宋体"/>
          <w:bCs/>
          <w:kern w:val="0"/>
          <w:sz w:val="28"/>
          <w:szCs w:val="28"/>
          <w:lang w:val="en-US" w:eastAsia="zh-CN"/>
        </w:rPr>
        <w:t>政</w:t>
      </w:r>
      <w:r>
        <w:rPr>
          <w:rFonts w:ascii="宋体" w:hAnsi="宋体"/>
          <w:bCs/>
          <w:kern w:val="0"/>
          <w:sz w:val="28"/>
          <w:szCs w:val="28"/>
        </w:rPr>
        <w:t>建设，督促落实以党建</w:t>
      </w:r>
      <w:r>
        <w:rPr>
          <w:rFonts w:hint="eastAsia" w:ascii="宋体" w:hAnsi="宋体"/>
          <w:bCs/>
          <w:kern w:val="0"/>
          <w:sz w:val="28"/>
          <w:szCs w:val="28"/>
        </w:rPr>
        <w:t>督</w:t>
      </w:r>
      <w:r>
        <w:rPr>
          <w:rFonts w:ascii="宋体" w:hAnsi="宋体"/>
          <w:bCs/>
          <w:kern w:val="0"/>
          <w:sz w:val="28"/>
          <w:szCs w:val="28"/>
        </w:rPr>
        <w:t>促乡村振兴等工作。</w:t>
      </w:r>
    </w:p>
    <w:p w14:paraId="41654427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七）社会事业综合服务中心（文化综合服务站、退役军人服务站）。负责社会救助、社会保障、退役军人创业就业、卫生健康和助残等方面的公益性事务服务工作；负责文化旅游广电、科技、教育、体育等方面的公益性事务服务工作；负责市场监管、公交环保、规划建设、招商引资、企业服务等方面的公益性事务服务工作。</w:t>
      </w:r>
    </w:p>
    <w:p w14:paraId="63B1C926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（八）农业综合服务中心。负责农业、林业、水利、农机、畜牧水产、移民</w:t>
      </w:r>
      <w:r>
        <w:rPr>
          <w:rFonts w:hint="eastAsia" w:ascii="宋体" w:hAnsi="宋体"/>
          <w:bCs/>
          <w:kern w:val="0"/>
          <w:sz w:val="28"/>
          <w:szCs w:val="28"/>
        </w:rPr>
        <w:t>等</w:t>
      </w:r>
      <w:r>
        <w:rPr>
          <w:rFonts w:ascii="宋体" w:hAnsi="宋体"/>
          <w:bCs/>
          <w:kern w:val="0"/>
          <w:sz w:val="28"/>
          <w:szCs w:val="28"/>
        </w:rPr>
        <w:t>多种经营方面的公益性事务服务工作。</w:t>
      </w:r>
    </w:p>
    <w:p w14:paraId="71FBBD40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（九）政务服务中心。负责乡镇政府及市级部门下放或委托的相关政务服务工作；负责网格化综合管理的事务性、辅助性服务工作</w:t>
      </w:r>
    </w:p>
    <w:p w14:paraId="4D0B9728">
      <w:pPr>
        <w:widowControl/>
        <w:spacing w:line="600" w:lineRule="exact"/>
        <w:rPr>
          <w:rFonts w:ascii="宋体" w:hAnsi="宋体"/>
          <w:bCs/>
          <w:kern w:val="0"/>
          <w:sz w:val="28"/>
          <w:szCs w:val="28"/>
        </w:rPr>
      </w:pPr>
      <w:r>
        <w:rPr>
          <w:rFonts w:ascii="宋体" w:hAnsi="宋体"/>
          <w:bCs/>
          <w:kern w:val="0"/>
          <w:sz w:val="28"/>
          <w:szCs w:val="28"/>
        </w:rPr>
        <w:t>（十）综合行政执法大队，主要负责集中行使城市管理和综合执法、住房和城乡建设、自然资源、人力资源和社会保障、农业农村、文化旅游广电体育、交通运输、林业、应急管理、卫生健康等市级部门下放或委托的行政执法权。</w:t>
      </w:r>
    </w:p>
    <w:p w14:paraId="78F8E116">
      <w:pPr>
        <w:pStyle w:val="4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391E5CB8"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  <w:lang w:val="en-US" w:eastAsia="zh-CN"/>
        </w:rPr>
        <w:t>二、部门收支情况</w:t>
      </w:r>
    </w:p>
    <w:p w14:paraId="7F4955BA">
      <w:pPr>
        <w:pStyle w:val="4"/>
        <w:numPr>
          <w:ilvl w:val="0"/>
          <w:numId w:val="0"/>
        </w:numPr>
        <w:shd w:val="clear" w:color="auto" w:fill="FFFFFF"/>
        <w:spacing w:line="480" w:lineRule="auto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bCs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我镇202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年度收入总计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2230.23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元，其中一般公共预算收入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1811.32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万元，政府性基金收入为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65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，其他收入为353.92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 xml:space="preserve">。全年总支出 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2230.23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万元，主要用于以下方面：一般公共服务（类）支出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955.52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42.8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%；科学技术（类）支出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252.32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11.3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文化旅游体育与传媒（类）支出21万元，占比0.9%；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社会保障和就业（类）支出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89.59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%；卫生健康（类）支出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33.77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1.5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节能环保支出（类）支出65.95万元，占比2.9%；城乡社区（类）支出38.8万元，占比1.7%；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农林水（类）支出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314.94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14.1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%；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交通运出（类）支出4万元，占比0.2%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住房保障（类）支出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15.1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0.6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%;其他支出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418.92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万元，占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18.7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%。</w:t>
      </w:r>
    </w:p>
    <w:p w14:paraId="1AF76B8A"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  <w:lang w:val="en-US" w:eastAsia="zh-CN"/>
        </w:rPr>
        <w:t>三、部门绩效目标情况</w:t>
      </w:r>
    </w:p>
    <w:p w14:paraId="2ED804FE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202</w:t>
      </w:r>
      <w:r>
        <w:rPr>
          <w:rFonts w:hint="eastAsia" w:cs="宋体"/>
          <w:color w:val="333333"/>
          <w:kern w:val="0"/>
          <w:sz w:val="28"/>
          <w:szCs w:val="28"/>
          <w:lang w:val="en-US" w:eastAsia="zh-CN" w:bidi="ar-SA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年，我镇积极履职，强化管理，较好的完成了年度工作目标。通过加强预算收支管理，不断建立健全内部管理制度，梳理内部管理流程，整体支出管理水平得到提升；各项绩效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  <w:lang w:val="en-US" w:eastAsia="zh-CN"/>
        </w:rPr>
        <w:t>指标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均达到了预期效果</w:t>
      </w:r>
      <w:r>
        <w:rPr>
          <w:rFonts w:hint="eastAsia" w:cs="Times New Roman" w:asciiTheme="minorEastAsia" w:hAnsiTheme="minorEastAsia" w:eastAsiaTheme="minorEastAsia"/>
          <w:color w:val="333333"/>
          <w:sz w:val="32"/>
          <w:szCs w:val="32"/>
        </w:rPr>
        <w:t>.</w:t>
      </w:r>
    </w:p>
    <w:p w14:paraId="50DA888C">
      <w:pPr>
        <w:pStyle w:val="4"/>
        <w:spacing w:before="0" w:beforeAutospacing="0" w:after="0" w:afterAutospacing="0" w:line="520" w:lineRule="atLeast"/>
        <w:ind w:firstLine="161" w:firstLineChars="50"/>
        <w:jc w:val="both"/>
        <w:rPr>
          <w:rFonts w:cs="Times New Roman"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sz w:val="32"/>
          <w:szCs w:val="32"/>
        </w:rPr>
        <w:t>四、存在的问题及原因</w:t>
      </w:r>
    </w:p>
    <w:p w14:paraId="4100CDAE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1、预决算项目支出编制需进一步明确、精细化。同时项目执行率需进一步提高。</w:t>
      </w:r>
    </w:p>
    <w:p w14:paraId="6972F6AB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2、专项资金少，资金压力大。针对我镇农村经济基础薄弱、资金压力大的现状，重点产业项目尚需进一步的加强</w:t>
      </w: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。</w:t>
      </w:r>
    </w:p>
    <w:p w14:paraId="7D836751">
      <w:pPr>
        <w:pStyle w:val="4"/>
        <w:spacing w:before="0" w:beforeAutospacing="0" w:after="0" w:afterAutospacing="0" w:line="480" w:lineRule="auto"/>
        <w:ind w:firstLine="161" w:firstLineChars="50"/>
        <w:jc w:val="both"/>
        <w:rPr>
          <w:rFonts w:asciiTheme="minorEastAsia" w:hAnsiTheme="minorEastAsia" w:eastAsiaTheme="minorEastAsia"/>
          <w:b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333333"/>
          <w:sz w:val="32"/>
          <w:szCs w:val="32"/>
        </w:rPr>
        <w:t>五、改进措施和建议</w:t>
      </w:r>
    </w:p>
    <w:p w14:paraId="2523C4B0">
      <w:pPr>
        <w:pStyle w:val="4"/>
        <w:spacing w:before="0" w:beforeAutospacing="0" w:after="0" w:afterAutospacing="0" w:line="520" w:lineRule="atLeast"/>
        <w:ind w:firstLine="64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1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、细化预算编制工作，认真做好预算的编制。进一步加强内设机构的预算管理意识，严格按照预算编制的相关制度和要求进行预算编制。</w:t>
      </w:r>
    </w:p>
    <w:p w14:paraId="1F081AD3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4074E70F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6F6D12E9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 w14:paraId="0286C196">
      <w:pPr>
        <w:pStyle w:val="4"/>
        <w:spacing w:before="0" w:beforeAutospacing="0" w:after="0" w:afterAutospacing="0" w:line="520" w:lineRule="atLeast"/>
        <w:ind w:firstLine="560" w:firstLineChars="2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-SA"/>
        </w:rPr>
      </w:pPr>
    </w:p>
    <w:p w14:paraId="592B7B3A">
      <w:pPr>
        <w:pStyle w:val="4"/>
        <w:spacing w:before="0" w:beforeAutospacing="0" w:after="0" w:afterAutospacing="0" w:line="480" w:lineRule="auto"/>
        <w:ind w:firstLine="48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</w:rPr>
      </w:pPr>
    </w:p>
    <w:p w14:paraId="2C0BE9D0">
      <w:pPr>
        <w:pStyle w:val="4"/>
        <w:spacing w:before="0" w:beforeAutospacing="0" w:after="0" w:afterAutospacing="0" w:line="480" w:lineRule="auto"/>
        <w:ind w:firstLine="4800" w:firstLineChars="1500"/>
        <w:jc w:val="both"/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eastAsia="zh-CN"/>
        </w:rPr>
        <w:t>常宁市西岭镇人民政府</w:t>
      </w:r>
    </w:p>
    <w:p w14:paraId="2C435E45">
      <w:pPr>
        <w:pStyle w:val="4"/>
        <w:spacing w:before="0" w:beforeAutospacing="0" w:after="0" w:afterAutospacing="0" w:line="480" w:lineRule="auto"/>
        <w:ind w:firstLine="5120" w:firstLineChars="1600"/>
        <w:jc w:val="both"/>
        <w:rPr>
          <w:rFonts w:hint="default" w:asciiTheme="minorEastAsia" w:hAnsiTheme="minorEastAsia" w:eastAsiaTheme="minorEastAsia"/>
          <w:color w:val="333333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  <w:lang w:val="en-US" w:eastAsia="zh-CN"/>
        </w:rPr>
        <w:t>2024年3月29日</w:t>
      </w:r>
    </w:p>
    <w:p w14:paraId="5869E136">
      <w:pPr>
        <w:pStyle w:val="4"/>
        <w:spacing w:before="0" w:beforeAutospacing="0" w:after="0" w:afterAutospacing="0" w:line="480" w:lineRule="auto"/>
        <w:ind w:firstLine="480"/>
        <w:jc w:val="both"/>
        <w:rPr>
          <w:rFonts w:asciiTheme="minorEastAsia" w:hAnsiTheme="minorEastAsia" w:eastAsiaTheme="minorEastAsia"/>
          <w:color w:val="333333"/>
          <w:sz w:val="32"/>
          <w:szCs w:val="32"/>
        </w:rPr>
      </w:pPr>
      <w:r>
        <w:rPr>
          <w:rFonts w:hint="eastAsia" w:asciiTheme="minorEastAsia" w:hAnsiTheme="minorEastAsia" w:eastAsiaTheme="minorEastAsia"/>
          <w:color w:val="333333"/>
          <w:sz w:val="32"/>
          <w:szCs w:val="32"/>
        </w:rPr>
        <w:t> </w:t>
      </w:r>
    </w:p>
    <w:p w14:paraId="73DF0A2E">
      <w:pPr>
        <w:pStyle w:val="4"/>
        <w:shd w:val="clear" w:color="auto" w:fill="FFFFFF"/>
        <w:spacing w:line="480" w:lineRule="auto"/>
        <w:ind w:firstLine="480"/>
        <w:jc w:val="both"/>
        <w:rPr>
          <w:rFonts w:asciiTheme="minorEastAsia" w:hAnsiTheme="minorEastAsia" w:eastAsiaTheme="minorEastAsia"/>
          <w:sz w:val="32"/>
          <w:szCs w:val="32"/>
        </w:rPr>
      </w:pPr>
    </w:p>
    <w:p w14:paraId="24FCCFF7">
      <w:pPr>
        <w:pStyle w:val="7"/>
        <w:ind w:left="42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ZTlkYzViNTI1MDhjNTQ1YWE1MjUwZTExYzdlMmUifQ=="/>
  </w:docVars>
  <w:rsids>
    <w:rsidRoot w:val="003416B4"/>
    <w:rsid w:val="002C0A20"/>
    <w:rsid w:val="003416B4"/>
    <w:rsid w:val="003C600E"/>
    <w:rsid w:val="00601843"/>
    <w:rsid w:val="009631FC"/>
    <w:rsid w:val="009C09E4"/>
    <w:rsid w:val="00A462F7"/>
    <w:rsid w:val="00A75EB6"/>
    <w:rsid w:val="00AA7E94"/>
    <w:rsid w:val="00AD700C"/>
    <w:rsid w:val="00B04640"/>
    <w:rsid w:val="00BD32CC"/>
    <w:rsid w:val="00C33A4A"/>
    <w:rsid w:val="00C8763C"/>
    <w:rsid w:val="00E23B5E"/>
    <w:rsid w:val="08D2238F"/>
    <w:rsid w:val="0BE14D64"/>
    <w:rsid w:val="26BC2DDE"/>
    <w:rsid w:val="2D8008E1"/>
    <w:rsid w:val="335104F4"/>
    <w:rsid w:val="3538101E"/>
    <w:rsid w:val="3C373C1E"/>
    <w:rsid w:val="41635872"/>
    <w:rsid w:val="4E5441FD"/>
    <w:rsid w:val="57A44A86"/>
    <w:rsid w:val="65E1646A"/>
    <w:rsid w:val="6B015E28"/>
    <w:rsid w:val="6B6E7F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5</Pages>
  <Words>2102</Words>
  <Characters>2194</Characters>
  <Lines>17</Lines>
  <Paragraphs>4</Paragraphs>
  <TotalTime>19</TotalTime>
  <ScaleCrop>false</ScaleCrop>
  <LinksUpToDate>false</LinksUpToDate>
  <CharactersWithSpaces>2207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2020-07-02T08:29:00Z</dcterms:created>
  <dc:creator>Microsoft</dc:creator>
  <cp:lastModifiedBy>Administrator</cp:lastModifiedBy>
  <cp:lastPrinted>2023-08-25T09:09:00Z</cp:lastPrinted>
  <dcterms:modified xsi:type="dcterms:W3CDTF">2024-08-26T08:55:34Z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A3C1A8B02A2C4493A75385BC98BEFDBD_13</vt:lpwstr>
  </property>
</Properties>
</file>