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常宁市</w:t>
      </w:r>
      <w:r>
        <w:rPr>
          <w:rFonts w:hint="eastAsia" w:ascii="Times New Roman" w:hAnsi="Times New Roman" w:eastAsia="方正小标宋简体" w:cs="Times New Roman"/>
          <w:sz w:val="44"/>
          <w:szCs w:val="44"/>
          <w:lang w:val="en-US" w:eastAsia="zh-CN"/>
        </w:rPr>
        <w:t>科技和工业信息化局</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3</w:t>
      </w:r>
      <w:r>
        <w:rPr>
          <w:rFonts w:ascii="Times New Roman" w:hAnsi="Times New Roman" w:eastAsia="方正小标宋简体" w:cs="Times New Roman"/>
          <w:sz w:val="44"/>
          <w:szCs w:val="44"/>
        </w:rPr>
        <w:t>年度部门整体支出绩效评价报告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b/>
          <w:bCs/>
          <w:color w:val="auto"/>
          <w:sz w:val="30"/>
          <w:szCs w:val="30"/>
          <w:shd w:val="clear" w:color="auto" w:fil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黑体" w:hAnsi="黑体" w:eastAsia="黑体" w:cs="黑体"/>
          <w:b/>
          <w:bCs/>
          <w:color w:val="auto"/>
          <w:sz w:val="32"/>
          <w:szCs w:val="32"/>
          <w:shd w:val="clear" w:color="auto" w:fill="auto"/>
        </w:rPr>
      </w:pPr>
      <w:r>
        <w:rPr>
          <w:rFonts w:hint="eastAsia" w:ascii="黑体" w:hAnsi="黑体" w:eastAsia="黑体" w:cs="黑体"/>
          <w:b/>
          <w:bCs/>
          <w:color w:val="auto"/>
          <w:sz w:val="32"/>
          <w:szCs w:val="32"/>
          <w:shd w:val="clear" w:color="auto" w:fill="auto"/>
        </w:rPr>
        <w:t>一、部门基本概况</w:t>
      </w:r>
    </w:p>
    <w:p>
      <w:pPr>
        <w:pStyle w:val="3"/>
        <w:widowControl/>
        <w:spacing w:before="0" w:beforeAutospacing="0" w:after="0" w:afterAutospacing="0" w:line="400" w:lineRule="atLeast"/>
        <w:ind w:firstLine="370"/>
        <w:rPr>
          <w:rFonts w:hint="eastAsia" w:ascii="楷体" w:hAnsi="楷体" w:eastAsia="楷体" w:cs="楷体"/>
          <w:b/>
          <w:bCs/>
          <w:kern w:val="2"/>
          <w:sz w:val="32"/>
          <w:szCs w:val="32"/>
          <w:lang w:bidi="ar-SA"/>
        </w:rPr>
      </w:pPr>
      <w:r>
        <w:rPr>
          <w:rFonts w:hint="eastAsia" w:ascii="楷体" w:hAnsi="楷体" w:eastAsia="楷体" w:cs="楷体"/>
          <w:b/>
          <w:bCs/>
          <w:kern w:val="2"/>
          <w:sz w:val="32"/>
          <w:szCs w:val="32"/>
          <w:lang w:eastAsia="zh-CN" w:bidi="ar-SA"/>
        </w:rPr>
        <w:t>（</w:t>
      </w:r>
      <w:r>
        <w:rPr>
          <w:rFonts w:hint="eastAsia" w:ascii="楷体" w:hAnsi="楷体" w:eastAsia="楷体" w:cs="楷体"/>
          <w:b/>
          <w:bCs/>
          <w:kern w:val="2"/>
          <w:sz w:val="32"/>
          <w:szCs w:val="32"/>
          <w:lang w:val="en-US" w:eastAsia="zh-CN" w:bidi="ar-SA"/>
        </w:rPr>
        <w:t>一</w:t>
      </w:r>
      <w:r>
        <w:rPr>
          <w:rFonts w:hint="eastAsia" w:ascii="楷体" w:hAnsi="楷体" w:eastAsia="楷体" w:cs="楷体"/>
          <w:b/>
          <w:bCs/>
          <w:kern w:val="2"/>
          <w:sz w:val="32"/>
          <w:szCs w:val="32"/>
          <w:lang w:eastAsia="zh-CN" w:bidi="ar-SA"/>
        </w:rPr>
        <w:t>）</w:t>
      </w:r>
      <w:r>
        <w:rPr>
          <w:rFonts w:hint="eastAsia" w:ascii="楷体" w:hAnsi="楷体" w:eastAsia="楷体" w:cs="楷体"/>
          <w:b/>
          <w:bCs/>
          <w:kern w:val="2"/>
          <w:sz w:val="32"/>
          <w:szCs w:val="32"/>
          <w:lang w:val="en-US" w:eastAsia="zh-CN" w:bidi="ar-SA"/>
        </w:rPr>
        <w:t>基本情况</w:t>
      </w:r>
    </w:p>
    <w:p>
      <w:pPr>
        <w:pStyle w:val="3"/>
        <w:widowControl/>
        <w:spacing w:before="0" w:beforeAutospacing="0" w:after="0" w:afterAutospacing="0" w:line="400" w:lineRule="atLeast"/>
        <w:ind w:firstLine="37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val="en-US" w:eastAsia="zh-CN" w:bidi="ar-SA"/>
        </w:rPr>
        <w:t>常宁市科技和工业信息化局是正科级一级预算单位，</w:t>
      </w:r>
      <w:r>
        <w:rPr>
          <w:rFonts w:hint="eastAsia" w:ascii="Calibri" w:hAnsi="Calibri" w:eastAsia="仿宋_GB2312" w:cs="Times New Roman"/>
          <w:kern w:val="2"/>
          <w:sz w:val="32"/>
          <w:szCs w:val="32"/>
          <w:lang w:bidi="ar-SA"/>
        </w:rPr>
        <w:t>根据编委核定本单位内设</w:t>
      </w:r>
      <w:r>
        <w:rPr>
          <w:rFonts w:hint="eastAsia" w:eastAsia="仿宋_GB2312" w:cs="Times New Roman"/>
          <w:kern w:val="2"/>
          <w:sz w:val="32"/>
          <w:szCs w:val="32"/>
          <w:lang w:eastAsia="zh-CN" w:bidi="ar-SA"/>
        </w:rPr>
        <w:t>股</w:t>
      </w:r>
      <w:r>
        <w:rPr>
          <w:rFonts w:hint="eastAsia" w:ascii="Calibri" w:hAnsi="Calibri" w:eastAsia="仿宋_GB2312" w:cs="Times New Roman"/>
          <w:kern w:val="2"/>
          <w:sz w:val="32"/>
          <w:szCs w:val="32"/>
          <w:lang w:bidi="ar-SA"/>
        </w:rPr>
        <w:t>室1</w:t>
      </w:r>
      <w:r>
        <w:rPr>
          <w:rFonts w:hint="eastAsia" w:ascii="Calibri" w:hAnsi="Calibri" w:eastAsia="仿宋_GB2312" w:cs="Times New Roman"/>
          <w:kern w:val="2"/>
          <w:sz w:val="32"/>
          <w:szCs w:val="32"/>
          <w:lang w:val="en-US" w:eastAsia="zh-CN" w:bidi="ar-SA"/>
        </w:rPr>
        <w:t>4</w:t>
      </w:r>
      <w:r>
        <w:rPr>
          <w:rFonts w:hint="eastAsia" w:ascii="Calibri" w:hAnsi="Calibri" w:eastAsia="仿宋_GB2312" w:cs="Times New Roman"/>
          <w:kern w:val="2"/>
          <w:sz w:val="32"/>
          <w:szCs w:val="32"/>
          <w:lang w:bidi="ar-SA"/>
        </w:rPr>
        <w:t>个，所属事业单位</w:t>
      </w:r>
      <w:r>
        <w:rPr>
          <w:rFonts w:hint="eastAsia" w:ascii="Calibri" w:hAnsi="Calibri" w:eastAsia="仿宋_GB2312" w:cs="Times New Roman"/>
          <w:kern w:val="2"/>
          <w:sz w:val="32"/>
          <w:szCs w:val="32"/>
          <w:lang w:val="en-US" w:eastAsia="zh-CN" w:bidi="ar-SA"/>
        </w:rPr>
        <w:t>3</w:t>
      </w:r>
      <w:r>
        <w:rPr>
          <w:rFonts w:hint="eastAsia" w:ascii="Calibri" w:hAnsi="Calibri" w:eastAsia="仿宋_GB2312" w:cs="Times New Roman"/>
          <w:kern w:val="2"/>
          <w:sz w:val="32"/>
          <w:szCs w:val="32"/>
          <w:lang w:bidi="ar-SA"/>
        </w:rPr>
        <w:t>个。内设股室分别是：办公室</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经济运行调节股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产业政策与法规股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中小企业股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投资与规划股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节能与综合利用股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工业消费品股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高新技术产业股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农村与社会发展股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信息化综合管理股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财务股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组织人事和教育培训股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信访室</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bidi="ar-SA"/>
        </w:rPr>
        <w:t>计划成果股</w:t>
      </w:r>
      <w:r>
        <w:rPr>
          <w:rFonts w:hint="eastAsia"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所属事业单位分别是：科技咨询服务中心、节能监察中心、煤炭生产服务中心。</w:t>
      </w:r>
      <w:r>
        <w:rPr>
          <w:rFonts w:hint="eastAsia" w:ascii="Calibri" w:hAnsi="Calibri" w:eastAsia="仿宋_GB2312" w:cs="Times New Roman"/>
          <w:kern w:val="2"/>
          <w:sz w:val="32"/>
          <w:szCs w:val="32"/>
          <w:lang w:bidi="ar-SA"/>
        </w:rPr>
        <w:t>本部门编制</w:t>
      </w:r>
      <w:r>
        <w:rPr>
          <w:rFonts w:hint="eastAsia" w:ascii="Calibri" w:hAnsi="Calibri" w:eastAsia="仿宋_GB2312" w:cs="Times New Roman"/>
          <w:kern w:val="2"/>
          <w:sz w:val="32"/>
          <w:szCs w:val="32"/>
          <w:lang w:val="en-US" w:eastAsia="zh-CN" w:bidi="ar-SA"/>
        </w:rPr>
        <w:t>人</w:t>
      </w:r>
      <w:r>
        <w:rPr>
          <w:rFonts w:hint="eastAsia" w:ascii="Calibri" w:hAnsi="Calibri" w:eastAsia="仿宋_GB2312" w:cs="Times New Roman"/>
          <w:kern w:val="2"/>
          <w:sz w:val="32"/>
          <w:szCs w:val="32"/>
          <w:lang w:bidi="ar-SA"/>
        </w:rPr>
        <w:t>数</w:t>
      </w:r>
      <w:r>
        <w:rPr>
          <w:rFonts w:hint="eastAsia" w:ascii="Calibri" w:hAnsi="Calibri" w:eastAsia="仿宋_GB2312" w:cs="Times New Roman"/>
          <w:kern w:val="2"/>
          <w:sz w:val="32"/>
          <w:szCs w:val="32"/>
          <w:lang w:val="en-US" w:eastAsia="zh-CN" w:bidi="ar-SA"/>
        </w:rPr>
        <w:t>45</w:t>
      </w:r>
      <w:r>
        <w:rPr>
          <w:rFonts w:hint="eastAsia" w:ascii="Calibri" w:hAnsi="Calibri" w:eastAsia="仿宋_GB2312" w:cs="Times New Roman"/>
          <w:kern w:val="2"/>
          <w:sz w:val="32"/>
          <w:szCs w:val="32"/>
          <w:lang w:bidi="ar-SA"/>
        </w:rPr>
        <w:t>人,在职人数</w:t>
      </w:r>
      <w:r>
        <w:rPr>
          <w:rFonts w:hint="eastAsia" w:ascii="Calibri" w:hAnsi="Calibri" w:eastAsia="仿宋_GB2312" w:cs="Times New Roman"/>
          <w:kern w:val="2"/>
          <w:sz w:val="32"/>
          <w:szCs w:val="32"/>
          <w:lang w:val="en-US" w:eastAsia="zh-CN" w:bidi="ar-SA"/>
        </w:rPr>
        <w:t>73</w:t>
      </w:r>
      <w:r>
        <w:rPr>
          <w:rFonts w:hint="eastAsia" w:ascii="Calibri" w:hAnsi="Calibri" w:eastAsia="仿宋_GB2312" w:cs="Times New Roman"/>
          <w:kern w:val="2"/>
          <w:sz w:val="32"/>
          <w:szCs w:val="32"/>
          <w:lang w:bidi="ar-SA"/>
        </w:rPr>
        <w:t>人。</w:t>
      </w:r>
    </w:p>
    <w:p>
      <w:pPr>
        <w:pStyle w:val="3"/>
        <w:widowControl/>
        <w:spacing w:before="0" w:beforeAutospacing="0" w:after="0" w:afterAutospacing="0" w:line="400" w:lineRule="atLeast"/>
        <w:ind w:firstLine="370"/>
        <w:rPr>
          <w:rFonts w:hint="eastAsia" w:ascii="楷体" w:hAnsi="楷体" w:eastAsia="楷体" w:cs="楷体"/>
          <w:b/>
          <w:bCs/>
          <w:kern w:val="2"/>
          <w:sz w:val="32"/>
          <w:szCs w:val="32"/>
          <w:lang w:eastAsia="zh-CN" w:bidi="ar-SA"/>
        </w:rPr>
      </w:pPr>
      <w:r>
        <w:rPr>
          <w:rFonts w:hint="eastAsia" w:ascii="楷体" w:hAnsi="楷体" w:eastAsia="楷体" w:cs="楷体"/>
          <w:b/>
          <w:bCs/>
          <w:kern w:val="2"/>
          <w:sz w:val="32"/>
          <w:szCs w:val="32"/>
          <w:lang w:eastAsia="zh-CN" w:bidi="ar-SA"/>
        </w:rPr>
        <w:t>（</w:t>
      </w:r>
      <w:r>
        <w:rPr>
          <w:rFonts w:hint="eastAsia" w:ascii="楷体" w:hAnsi="楷体" w:eastAsia="楷体" w:cs="楷体"/>
          <w:b/>
          <w:bCs/>
          <w:kern w:val="2"/>
          <w:sz w:val="32"/>
          <w:szCs w:val="32"/>
          <w:lang w:val="en-US" w:eastAsia="zh-CN" w:bidi="ar-SA"/>
        </w:rPr>
        <w:t>二</w:t>
      </w:r>
      <w:r>
        <w:rPr>
          <w:rFonts w:hint="eastAsia" w:ascii="楷体" w:hAnsi="楷体" w:eastAsia="楷体" w:cs="楷体"/>
          <w:b/>
          <w:bCs/>
          <w:kern w:val="2"/>
          <w:sz w:val="32"/>
          <w:szCs w:val="32"/>
          <w:lang w:eastAsia="zh-CN" w:bidi="ar-SA"/>
        </w:rPr>
        <w:t>）职能职责</w:t>
      </w:r>
    </w:p>
    <w:p>
      <w:pPr>
        <w:pStyle w:val="3"/>
        <w:widowControl/>
        <w:spacing w:before="0" w:beforeAutospacing="0" w:after="0" w:afterAutospacing="0" w:line="400" w:lineRule="atLeast"/>
        <w:ind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负责全市科技和工业经济的日常运行调节，编制并组织实施近期科技和工业经济运行调控目标、政策和措施；监测、分析全市科技和工业经济运行态势，统计并发布相关信息，进行预测预警和信息引导，协调解决科技和工业经济运行中的突出矛盾和问题，并提出政策建议。</w:t>
      </w:r>
    </w:p>
    <w:p>
      <w:pPr>
        <w:pStyle w:val="3"/>
        <w:widowControl/>
        <w:spacing w:before="0" w:beforeAutospacing="0" w:after="0" w:afterAutospacing="0" w:line="400" w:lineRule="atLeast"/>
        <w:ind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2、拟订全市新型工业化的</w:t>
      </w:r>
      <w:r>
        <w:rPr>
          <w:rFonts w:hint="eastAsia" w:ascii="Calibri" w:hAnsi="Calibri" w:eastAsia="仿宋_GB2312" w:cs="Times New Roman"/>
          <w:kern w:val="2"/>
          <w:sz w:val="32"/>
          <w:szCs w:val="32"/>
          <w:lang w:eastAsia="zh-CN" w:bidi="ar-SA"/>
        </w:rPr>
        <w:t>高质量</w:t>
      </w:r>
      <w:r>
        <w:rPr>
          <w:rFonts w:hint="eastAsia" w:ascii="Calibri" w:hAnsi="Calibri" w:eastAsia="仿宋_GB2312" w:cs="Times New Roman"/>
          <w:kern w:val="2"/>
          <w:sz w:val="32"/>
          <w:szCs w:val="32"/>
          <w:lang w:bidi="ar-SA"/>
        </w:rPr>
        <w:t>发展、制定十四个五年规划并组织实施，协调解决有关重大问题；综合管理全市科技和工业经济，指导、协调和服务工业企业；推进信息化</w:t>
      </w:r>
      <w:r>
        <w:rPr>
          <w:rFonts w:hint="eastAsia" w:ascii="Calibri" w:hAnsi="Calibri" w:eastAsia="仿宋_GB2312" w:cs="Times New Roman"/>
          <w:kern w:val="2"/>
          <w:sz w:val="32"/>
          <w:szCs w:val="32"/>
          <w:lang w:eastAsia="zh-CN" w:bidi="ar-SA"/>
        </w:rPr>
        <w:t>数字经济</w:t>
      </w:r>
      <w:r>
        <w:rPr>
          <w:rFonts w:hint="eastAsia" w:ascii="Calibri" w:hAnsi="Calibri" w:eastAsia="仿宋_GB2312" w:cs="Times New Roman"/>
          <w:kern w:val="2"/>
          <w:sz w:val="32"/>
          <w:szCs w:val="32"/>
          <w:lang w:bidi="ar-SA"/>
        </w:rPr>
        <w:t>和工业化融合；负责拟订并组织实施科技、工业、信息化的发展专项规划，负责全市科技进步的宏观管理和统筹协调，贯彻国家、省科技发展宏观战略和科技促进经济与社会发展的方针、政策、法规；牵头拟定全市科技发展规划，确定全市科技发展的战略布局和优先发展领域；拟定有关科技发展的政策建议，并监督实施；参与对经济社会发展有重大影响的跨部门、多学科的综合性项目的论证与决策。</w:t>
      </w:r>
    </w:p>
    <w:p>
      <w:pPr>
        <w:pStyle w:val="3"/>
        <w:widowControl/>
        <w:spacing w:before="0" w:beforeAutospacing="0" w:after="0" w:afterAutospacing="0" w:line="400" w:lineRule="atLeast"/>
        <w:ind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3、贯彻落实国家产业政策；拟订优化产业结构和产品结构的地方配套政策，并监督检查执行情况；研究和规划全市工业产业投资布局；指导全市工业产业优化升级；依法组织实施相关行业的准入管理；负责组织实施市级科技计划工作和相关计划项目申报、推荐和管理；牵头组织全市经济社会发展重要领域的重大关键技术攻关，会同有关部门拟订促进产学研结合相关政策；组织重大科技成果应用示范，加强科技成果转化和推广，推动企业技术创新能力建设；负责起草科技、工业和信息化领域的规范性文件草案并对相关法律法规的执法情况进行监督检查；协调减轻企业负担工作；会同有关部门做好全市维护企业稳工复产。</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4、负责全市高新技术的研究开发、成果转化以及产业化工作，会同有关部门拟订高新技术发展及产业化的规划和政策，负责组织高新技术企业（项目）认定的申报、推荐，指导并推动高新技术企业创新发展；拟定促进技术市场、科技中介组织发展政策，负责全市技术市场体系建设和管理，促进科技服务体系发展，发展依靠科技先行。</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5、研究提出多渠道增加科技投入的措施，优化科技资源；会同有关部门提出科技资源合理配置的政策建议，推动科技资源共建共享，负责本部门及归口管理的市级科技经费预、决算和经费使用的监督管理；负责全市科技人才工作，会同有关部门拟订科技人才队伍建设规划。</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6、牵头组织全市农村和社会发展领域的科技进步工作，组织拟订科技促进农村和社会发展的规划和政策，组织引导农业和社会发展领域的关键技术攻关和成果示范，促进以改善民生为重点的农村建设和社会建设。</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7、研究拟订促进全市中小企业发展的政策措施，协调解决重大问题；拟订中小企业发展战略、中长期发展规划并组织实施；指导中小企业改革工作；管理全市中小企业专项发展基金；推进中小企业服务体系和信用担保体系建设；拟订政府重点扶持中小企业的项目及资金投入方向，扶持中小企业的发展；推进全民创业。</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8、负责协调全市工业节能降耗工作，制定工业和信息化领域循环经济发展规划并组织实施；负责全市节能监察工作，协调环保产业发展和工业环境保护。</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9、综合协调经济运行中与铁路、公路、水运、航空、管道运输以及通信、邮政有关的重大问题；负责铁路专用线的管理工作；负责煤炭、电力、石油、天然气和原材料等经济运行保障要素的综合协调工作；负责电力行业管理及行政执法工作；保障用电供需平稳，指导生产企业物流外包，促进企业内部物流社会化。</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10、拟订全市信息安全发展战略、规划，指导、协调信息安全保障体系建设；指导监督政府部门、重点行业重要信息系统与基础信息网络的安全保障工作，协调处理网络与信息安全的重大事件；协调全市公用通信网、互联网、广播电视网和其他专用通信网的规划与建设，促进网络资源共享；推动跨行业、跨部门的互联互通和重要信息资源的开发利用、共享；实行5G网络全覆盖，统筹推进全市信息化建设；负责推动软件业和信息服务业的发展；组织拟订软件业和信息服务业发展战略、专项规划及相关政策，协调解决重大问题，推动软件公共服务体系建设，推进软件服务外包；指导、协调相关技术开发和产业发展。</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11、负责全市工业和信息化领域招商引资工作，研究拟订工业和信息化领域招商政策，协调项目开工、建设等工作。</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12、负责对属于本局直管的行业和领域范围内安全生产工作实施监督管理。</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13、负责联系市烟草专卖局、中国邮政集团公司湖南省常宁分公司、湖南盐业股份有限公司常宁市分公司、中国移动分公司、中国电信常宁分公司、中国联通常宁分公司等单位。</w:t>
      </w:r>
    </w:p>
    <w:p>
      <w:pPr>
        <w:pStyle w:val="3"/>
        <w:widowControl/>
        <w:spacing w:before="0" w:beforeAutospacing="0" w:after="0" w:afterAutospacing="0" w:line="400" w:lineRule="atLeast"/>
        <w:ind w:right="20" w:firstLine="640" w:firstLineChars="200"/>
        <w:rPr>
          <w:rFonts w:hint="eastAsia" w:ascii="Calibri" w:hAnsi="Calibri" w:eastAsia="仿宋_GB2312" w:cs="Times New Roman"/>
          <w:kern w:val="2"/>
          <w:sz w:val="32"/>
          <w:szCs w:val="32"/>
          <w:lang w:bidi="ar-SA"/>
        </w:rPr>
      </w:pPr>
      <w:r>
        <w:rPr>
          <w:rFonts w:hint="eastAsia" w:ascii="Calibri" w:hAnsi="Calibri" w:eastAsia="仿宋_GB2312" w:cs="Times New Roman"/>
          <w:kern w:val="2"/>
          <w:sz w:val="32"/>
          <w:szCs w:val="32"/>
          <w:lang w:bidi="ar-SA"/>
        </w:rPr>
        <w:t>14、完成市委、市人民政府和上级主管部门交办的各项考核指标任务及其他事项。</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二、部门整体支出情况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2023</w:t>
      </w:r>
      <w:r>
        <w:rPr>
          <w:rFonts w:hint="eastAsia" w:ascii="仿宋_GB2312" w:hAnsi="仿宋_GB2312" w:eastAsia="仿宋_GB2312" w:cs="仿宋_GB2312"/>
          <w:color w:val="auto"/>
          <w:sz w:val="32"/>
          <w:szCs w:val="32"/>
          <w:shd w:val="clear" w:color="auto" w:fill="auto"/>
        </w:rPr>
        <w:t>年年初部门收入预算数</w:t>
      </w:r>
      <w:r>
        <w:rPr>
          <w:rFonts w:hint="eastAsia" w:ascii="仿宋_GB2312" w:hAnsi="仿宋_GB2312" w:eastAsia="仿宋_GB2312" w:cs="仿宋_GB2312"/>
          <w:color w:val="auto"/>
          <w:sz w:val="32"/>
          <w:szCs w:val="32"/>
          <w:shd w:val="clear" w:color="auto" w:fill="auto"/>
          <w:lang w:val="en-US" w:eastAsia="zh-CN"/>
        </w:rPr>
        <w:t>890.65</w:t>
      </w:r>
      <w:r>
        <w:rPr>
          <w:rFonts w:hint="eastAsia" w:ascii="仿宋_GB2312" w:hAnsi="仿宋_GB2312" w:eastAsia="仿宋_GB2312" w:cs="仿宋_GB2312"/>
          <w:color w:val="auto"/>
          <w:sz w:val="32"/>
          <w:szCs w:val="32"/>
          <w:shd w:val="clear" w:color="auto" w:fill="auto"/>
        </w:rPr>
        <w:t>万元，其中，一般公共预算拨款</w:t>
      </w:r>
      <w:r>
        <w:rPr>
          <w:rFonts w:hint="eastAsia" w:ascii="仿宋_GB2312" w:hAnsi="仿宋_GB2312" w:eastAsia="仿宋_GB2312" w:cs="仿宋_GB2312"/>
          <w:color w:val="auto"/>
          <w:sz w:val="32"/>
          <w:szCs w:val="32"/>
          <w:shd w:val="clear" w:color="auto" w:fill="auto"/>
          <w:lang w:val="en-US" w:eastAsia="zh-CN"/>
        </w:rPr>
        <w:t>890.33</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eastAsia="zh-CN"/>
        </w:rPr>
        <w:t>占总收入比重的</w:t>
      </w:r>
      <w:r>
        <w:rPr>
          <w:rFonts w:hint="eastAsia" w:ascii="仿宋_GB2312" w:hAnsi="仿宋_GB2312" w:eastAsia="仿宋_GB2312" w:cs="仿宋_GB2312"/>
          <w:color w:val="auto"/>
          <w:sz w:val="32"/>
          <w:szCs w:val="32"/>
          <w:shd w:val="clear" w:color="auto" w:fill="auto"/>
          <w:lang w:val="en-US" w:eastAsia="zh-CN"/>
        </w:rPr>
        <w:t>99%，</w:t>
      </w:r>
      <w:r>
        <w:rPr>
          <w:rFonts w:hint="eastAsia" w:ascii="仿宋_GB2312" w:hAnsi="仿宋_GB2312" w:eastAsia="仿宋_GB2312" w:cs="仿宋_GB2312"/>
          <w:color w:val="auto"/>
          <w:sz w:val="32"/>
          <w:szCs w:val="32"/>
          <w:shd w:val="clear" w:color="auto" w:fill="auto"/>
        </w:rPr>
        <w:t>纳入</w:t>
      </w:r>
      <w:r>
        <w:rPr>
          <w:rFonts w:hint="eastAsia" w:ascii="仿宋_GB2312" w:hAnsi="仿宋_GB2312" w:eastAsia="仿宋_GB2312" w:cs="仿宋_GB2312"/>
          <w:color w:val="auto"/>
          <w:sz w:val="32"/>
          <w:szCs w:val="32"/>
          <w:shd w:val="clear" w:color="auto" w:fill="auto"/>
          <w:lang w:eastAsia="zh-CN"/>
        </w:rPr>
        <w:t>预算</w:t>
      </w:r>
      <w:r>
        <w:rPr>
          <w:rFonts w:hint="eastAsia" w:ascii="仿宋_GB2312" w:hAnsi="仿宋_GB2312" w:eastAsia="仿宋_GB2312" w:cs="仿宋_GB2312"/>
          <w:color w:val="auto"/>
          <w:sz w:val="32"/>
          <w:szCs w:val="32"/>
          <w:shd w:val="clear" w:color="auto" w:fill="auto"/>
        </w:rPr>
        <w:t>管理的</w:t>
      </w:r>
      <w:r>
        <w:rPr>
          <w:rFonts w:hint="eastAsia" w:ascii="仿宋_GB2312" w:hAnsi="仿宋_GB2312" w:eastAsia="仿宋_GB2312" w:cs="仿宋_GB2312"/>
          <w:color w:val="auto"/>
          <w:sz w:val="32"/>
          <w:szCs w:val="32"/>
          <w:shd w:val="clear" w:color="auto" w:fill="auto"/>
          <w:lang w:eastAsia="zh-CN"/>
        </w:rPr>
        <w:t>事业</w:t>
      </w:r>
      <w:r>
        <w:rPr>
          <w:rFonts w:hint="eastAsia" w:ascii="仿宋_GB2312" w:hAnsi="仿宋_GB2312" w:eastAsia="仿宋_GB2312" w:cs="仿宋_GB2312"/>
          <w:color w:val="auto"/>
          <w:sz w:val="32"/>
          <w:szCs w:val="32"/>
          <w:shd w:val="clear" w:color="auto" w:fill="auto"/>
        </w:rPr>
        <w:t>收入</w:t>
      </w:r>
      <w:r>
        <w:rPr>
          <w:rFonts w:hint="eastAsia" w:ascii="仿宋_GB2312" w:hAnsi="仿宋_GB2312" w:eastAsia="仿宋_GB2312" w:cs="仿宋_GB2312"/>
          <w:color w:val="auto"/>
          <w:sz w:val="32"/>
          <w:szCs w:val="32"/>
          <w:shd w:val="clear" w:color="auto" w:fill="auto"/>
          <w:lang w:val="en-US" w:eastAsia="zh-CN"/>
        </w:rPr>
        <w:t>0.32</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eastAsia="zh-CN"/>
        </w:rPr>
        <w:t>占总收入比重的</w:t>
      </w:r>
      <w:r>
        <w:rPr>
          <w:rFonts w:hint="eastAsia" w:ascii="仿宋_GB2312" w:hAnsi="仿宋_GB2312" w:eastAsia="仿宋_GB2312" w:cs="仿宋_GB2312"/>
          <w:color w:val="auto"/>
          <w:sz w:val="32"/>
          <w:szCs w:val="32"/>
          <w:shd w:val="clear" w:color="auto" w:fill="auto"/>
          <w:lang w:val="en-US" w:eastAsia="zh-CN"/>
        </w:rPr>
        <w:t>0.1%，2023</w:t>
      </w:r>
      <w:r>
        <w:rPr>
          <w:rFonts w:hint="eastAsia" w:ascii="仿宋_GB2312" w:hAnsi="仿宋_GB2312" w:eastAsia="仿宋_GB2312" w:cs="仿宋_GB2312"/>
          <w:color w:val="auto"/>
          <w:sz w:val="32"/>
          <w:szCs w:val="32"/>
          <w:shd w:val="clear" w:color="auto" w:fill="auto"/>
        </w:rPr>
        <w:t xml:space="preserve"> 年年初部门支出预算数</w:t>
      </w:r>
      <w:r>
        <w:rPr>
          <w:rFonts w:hint="eastAsia" w:ascii="仿宋_GB2312" w:hAnsi="仿宋_GB2312" w:eastAsia="仿宋_GB2312" w:cs="仿宋_GB2312"/>
          <w:color w:val="auto"/>
          <w:sz w:val="32"/>
          <w:szCs w:val="32"/>
          <w:shd w:val="clear" w:color="auto" w:fill="auto"/>
          <w:lang w:val="en-US" w:eastAsia="zh-CN"/>
        </w:rPr>
        <w:t>890.65</w:t>
      </w:r>
      <w:r>
        <w:rPr>
          <w:rFonts w:hint="eastAsia" w:ascii="仿宋_GB2312" w:hAnsi="仿宋_GB2312" w:eastAsia="仿宋_GB2312" w:cs="仿宋_GB2312"/>
          <w:color w:val="auto"/>
          <w:sz w:val="32"/>
          <w:szCs w:val="32"/>
          <w:shd w:val="clear" w:color="auto" w:fill="auto"/>
        </w:rPr>
        <w:t>万元，人员经费</w:t>
      </w:r>
      <w:r>
        <w:rPr>
          <w:rFonts w:hint="eastAsia" w:ascii="仿宋_GB2312" w:hAnsi="仿宋_GB2312" w:eastAsia="仿宋_GB2312" w:cs="仿宋_GB2312"/>
          <w:color w:val="auto"/>
          <w:sz w:val="32"/>
          <w:szCs w:val="32"/>
          <w:shd w:val="clear" w:color="auto" w:fill="auto"/>
          <w:lang w:val="en-US" w:eastAsia="zh-CN"/>
        </w:rPr>
        <w:t>685.19</w:t>
      </w:r>
      <w:r>
        <w:rPr>
          <w:rFonts w:hint="eastAsia" w:ascii="仿宋_GB2312" w:hAnsi="仿宋_GB2312" w:eastAsia="仿宋_GB2312" w:cs="仿宋_GB2312"/>
          <w:color w:val="auto"/>
          <w:sz w:val="32"/>
          <w:szCs w:val="32"/>
          <w:shd w:val="clear" w:color="auto" w:fill="auto"/>
        </w:rPr>
        <w:t>万元，主要包括：基本工资、津贴补贴、奖金、社会保障缴费、其他工资福利支出、离休费、退休费、抚恤金、奖励金、住房公积金、其他对个人和家庭的补助支出；</w:t>
      </w:r>
      <w:r>
        <w:rPr>
          <w:rFonts w:hint="eastAsia" w:ascii="仿宋_GB2312" w:hAnsi="仿宋_GB2312" w:eastAsia="仿宋_GB2312" w:cs="仿宋_GB2312"/>
          <w:color w:val="auto"/>
          <w:sz w:val="32"/>
          <w:szCs w:val="32"/>
          <w:shd w:val="clear" w:color="auto" w:fill="auto"/>
          <w:lang w:eastAsia="zh-CN"/>
        </w:rPr>
        <w:t>商品和服务支出</w:t>
      </w:r>
      <w:r>
        <w:rPr>
          <w:rFonts w:hint="eastAsia" w:ascii="仿宋_GB2312" w:hAnsi="仿宋_GB2312" w:eastAsia="仿宋_GB2312" w:cs="仿宋_GB2312"/>
          <w:color w:val="auto"/>
          <w:sz w:val="32"/>
          <w:szCs w:val="32"/>
          <w:shd w:val="clear" w:color="auto" w:fill="auto"/>
          <w:lang w:val="en-US" w:eastAsia="zh-CN"/>
        </w:rPr>
        <w:t>117.46</w:t>
      </w:r>
      <w:r>
        <w:rPr>
          <w:rFonts w:hint="eastAsia" w:ascii="仿宋_GB2312" w:hAnsi="仿宋_GB2312" w:eastAsia="仿宋_GB2312" w:cs="仿宋_GB2312"/>
          <w:color w:val="auto"/>
          <w:sz w:val="32"/>
          <w:szCs w:val="32"/>
          <w:shd w:val="clear" w:color="auto" w:fill="auto"/>
        </w:rPr>
        <w:t>万元，主要包括：办公费、印刷费、邮电费、差旅费、维修（护）费、会议费、培训费、</w:t>
      </w:r>
      <w:r>
        <w:rPr>
          <w:rFonts w:hint="eastAsia" w:ascii="仿宋_GB2312" w:hAnsi="仿宋_GB2312" w:eastAsia="仿宋_GB2312" w:cs="仿宋_GB2312"/>
          <w:color w:val="auto"/>
          <w:sz w:val="32"/>
          <w:szCs w:val="32"/>
          <w:shd w:val="clear" w:color="auto" w:fill="auto"/>
          <w:lang w:eastAsia="zh-CN"/>
        </w:rPr>
        <w:t>工会经费、</w:t>
      </w:r>
      <w:r>
        <w:rPr>
          <w:rFonts w:hint="eastAsia" w:ascii="仿宋_GB2312" w:hAnsi="仿宋_GB2312" w:eastAsia="仿宋_GB2312" w:cs="仿宋_GB2312"/>
          <w:color w:val="auto"/>
          <w:sz w:val="32"/>
          <w:szCs w:val="32"/>
          <w:shd w:val="clear" w:color="auto" w:fill="auto"/>
        </w:rPr>
        <w:t>公务接待费、其他交通费用、其他商品和服务支出。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20</w:t>
      </w:r>
      <w:r>
        <w:rPr>
          <w:rFonts w:hint="eastAsia" w:ascii="仿宋_GB2312" w:hAnsi="仿宋_GB2312" w:eastAsia="仿宋_GB2312" w:cs="仿宋_GB2312"/>
          <w:color w:val="auto"/>
          <w:sz w:val="32"/>
          <w:szCs w:val="32"/>
          <w:shd w:val="clear" w:color="auto" w:fill="auto"/>
          <w:lang w:val="en-US" w:eastAsia="zh-CN"/>
        </w:rPr>
        <w:t>23</w:t>
      </w:r>
      <w:r>
        <w:rPr>
          <w:rFonts w:hint="eastAsia" w:ascii="仿宋_GB2312" w:hAnsi="仿宋_GB2312" w:eastAsia="仿宋_GB2312" w:cs="仿宋_GB2312"/>
          <w:color w:val="auto"/>
          <w:sz w:val="32"/>
          <w:szCs w:val="32"/>
          <w:shd w:val="clear" w:color="auto" w:fill="auto"/>
        </w:rPr>
        <w:t>年年初</w:t>
      </w:r>
      <w:r>
        <w:rPr>
          <w:rFonts w:hint="eastAsia" w:ascii="仿宋_GB2312" w:hAnsi="仿宋_GB2312" w:eastAsia="仿宋_GB2312" w:cs="仿宋_GB2312"/>
          <w:color w:val="auto"/>
          <w:sz w:val="32"/>
          <w:szCs w:val="32"/>
          <w:shd w:val="clear" w:color="auto" w:fill="auto"/>
          <w:lang w:val="en-US" w:eastAsia="zh-CN"/>
        </w:rPr>
        <w:t>保运转类项目预算资金</w:t>
      </w:r>
      <w:r>
        <w:rPr>
          <w:rFonts w:hint="eastAsia" w:ascii="仿宋_GB2312" w:hAnsi="仿宋_GB2312" w:eastAsia="仿宋_GB2312" w:cs="仿宋_GB2312"/>
          <w:color w:val="auto"/>
          <w:sz w:val="32"/>
          <w:szCs w:val="32"/>
          <w:shd w:val="clear" w:color="auto" w:fill="auto"/>
        </w:rPr>
        <w:t>为</w:t>
      </w:r>
      <w:r>
        <w:rPr>
          <w:rFonts w:hint="eastAsia" w:ascii="仿宋_GB2312" w:hAnsi="仿宋_GB2312" w:eastAsia="仿宋_GB2312" w:cs="仿宋_GB2312"/>
          <w:color w:val="auto"/>
          <w:sz w:val="32"/>
          <w:szCs w:val="32"/>
          <w:shd w:val="clear" w:color="auto" w:fill="auto"/>
          <w:lang w:val="en-US" w:eastAsia="zh-CN"/>
        </w:rPr>
        <w:t>88</w:t>
      </w:r>
      <w:r>
        <w:rPr>
          <w:rFonts w:hint="eastAsia" w:ascii="仿宋_GB2312" w:hAnsi="仿宋_GB2312" w:eastAsia="仿宋_GB2312" w:cs="仿宋_GB2312"/>
          <w:color w:val="auto"/>
          <w:sz w:val="32"/>
          <w:szCs w:val="32"/>
          <w:shd w:val="clear" w:color="auto" w:fill="auto"/>
        </w:rPr>
        <w:t>万元，占总支出的比重为</w:t>
      </w:r>
      <w:r>
        <w:rPr>
          <w:rFonts w:hint="eastAsia" w:ascii="仿宋_GB2312" w:hAnsi="仿宋_GB2312" w:eastAsia="仿宋_GB2312" w:cs="仿宋_GB2312"/>
          <w:color w:val="auto"/>
          <w:sz w:val="32"/>
          <w:szCs w:val="32"/>
          <w:shd w:val="clear" w:color="auto" w:fill="auto"/>
          <w:lang w:val="en-US" w:eastAsia="zh-CN"/>
        </w:rPr>
        <w:t xml:space="preserve">10 </w:t>
      </w:r>
      <w:r>
        <w:rPr>
          <w:rFonts w:hint="eastAsia" w:ascii="仿宋_GB2312" w:hAnsi="仿宋_GB2312" w:eastAsia="仿宋_GB2312" w:cs="仿宋_GB2312"/>
          <w:color w:val="auto"/>
          <w:sz w:val="32"/>
          <w:szCs w:val="32"/>
          <w:shd w:val="clear" w:color="auto" w:fill="auto"/>
        </w:rPr>
        <w:t>%；是</w:t>
      </w:r>
      <w:r>
        <w:rPr>
          <w:rFonts w:hint="eastAsia" w:ascii="仿宋_GB2312" w:hAnsi="仿宋_GB2312" w:eastAsia="仿宋_GB2312" w:cs="仿宋_GB2312"/>
          <w:color w:val="auto"/>
          <w:sz w:val="32"/>
          <w:szCs w:val="32"/>
          <w:shd w:val="clear" w:color="auto" w:fill="auto"/>
          <w:lang w:eastAsia="zh-CN"/>
        </w:rPr>
        <w:t>指我单位</w:t>
      </w:r>
      <w:r>
        <w:rPr>
          <w:rFonts w:hint="eastAsia" w:ascii="仿宋_GB2312" w:hAnsi="仿宋_GB2312" w:eastAsia="仿宋_GB2312" w:cs="仿宋_GB2312"/>
          <w:color w:val="auto"/>
          <w:sz w:val="32"/>
          <w:szCs w:val="32"/>
          <w:shd w:val="clear" w:color="auto" w:fill="auto"/>
        </w:rPr>
        <w:t>为完成财政财务管理工作或事业发展目标而发生的支出。主要包括</w:t>
      </w:r>
      <w:r>
        <w:rPr>
          <w:rFonts w:hint="eastAsia" w:ascii="仿宋_GB2312" w:hAnsi="仿宋_GB2312" w:eastAsia="仿宋_GB2312" w:cs="仿宋_GB2312"/>
          <w:color w:val="auto"/>
          <w:sz w:val="32"/>
          <w:szCs w:val="32"/>
          <w:shd w:val="clear" w:color="auto" w:fill="auto"/>
          <w:lang w:val="en-US" w:eastAsia="zh-CN"/>
        </w:rPr>
        <w:t>工业企业发展事务30万元，专职办经费8万元，信息管理事务10万元，科技事务30万元，中小企业事务10万元。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eastAsia="仿宋_GB2312"/>
          <w:b/>
          <w:bCs/>
          <w:sz w:val="32"/>
          <w:szCs w:val="32"/>
        </w:rPr>
        <w:t>三公经费支出情况：</w:t>
      </w:r>
      <w:r>
        <w:rPr>
          <w:rFonts w:hint="eastAsia" w:ascii="仿宋_GB2312" w:hAnsi="仿宋_GB2312" w:eastAsia="仿宋_GB2312" w:cs="仿宋_GB2312"/>
          <w:color w:val="auto"/>
          <w:sz w:val="32"/>
          <w:szCs w:val="32"/>
          <w:shd w:val="clear" w:color="auto" w:fill="auto"/>
        </w:rPr>
        <w:t>20</w:t>
      </w:r>
      <w:r>
        <w:rPr>
          <w:rFonts w:hint="eastAsia" w:ascii="仿宋_GB2312" w:hAnsi="仿宋_GB2312" w:eastAsia="仿宋_GB2312" w:cs="仿宋_GB2312"/>
          <w:color w:val="auto"/>
          <w:sz w:val="32"/>
          <w:szCs w:val="32"/>
          <w:shd w:val="clear" w:color="auto" w:fill="auto"/>
          <w:lang w:val="en-US" w:eastAsia="zh-CN"/>
        </w:rPr>
        <w:t>23</w:t>
      </w:r>
      <w:r>
        <w:rPr>
          <w:rFonts w:hint="eastAsia" w:ascii="仿宋_GB2312" w:hAnsi="仿宋_GB2312" w:eastAsia="仿宋_GB2312" w:cs="仿宋_GB2312"/>
          <w:color w:val="auto"/>
          <w:sz w:val="32"/>
          <w:szCs w:val="32"/>
          <w:shd w:val="clear" w:color="auto" w:fill="auto"/>
        </w:rPr>
        <w:t>年部门“三公”经费预算数为</w:t>
      </w:r>
      <w:r>
        <w:rPr>
          <w:rFonts w:hint="eastAsia" w:ascii="仿宋_GB2312" w:hAnsi="仿宋_GB2312" w:eastAsia="仿宋_GB2312" w:cs="仿宋_GB2312"/>
          <w:color w:val="auto"/>
          <w:sz w:val="32"/>
          <w:szCs w:val="32"/>
          <w:shd w:val="clear" w:color="auto" w:fill="auto"/>
          <w:lang w:val="en-US" w:eastAsia="zh-CN"/>
        </w:rPr>
        <w:t>3.8</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val="en-US" w:eastAsia="zh-CN"/>
        </w:rPr>
        <w:t>用于</w:t>
      </w:r>
      <w:r>
        <w:rPr>
          <w:rFonts w:hint="eastAsia" w:ascii="仿宋_GB2312" w:hAnsi="仿宋_GB2312" w:eastAsia="仿宋_GB2312" w:cs="仿宋_GB2312"/>
          <w:color w:val="auto"/>
          <w:sz w:val="32"/>
          <w:szCs w:val="32"/>
          <w:shd w:val="clear" w:color="auto" w:fill="auto"/>
        </w:rPr>
        <w:t>公务接待费</w:t>
      </w:r>
      <w:r>
        <w:rPr>
          <w:rFonts w:hint="eastAsia" w:ascii="仿宋_GB2312" w:hAnsi="仿宋_GB2312" w:eastAsia="仿宋_GB2312" w:cs="仿宋_GB2312"/>
          <w:color w:val="auto"/>
          <w:sz w:val="32"/>
          <w:szCs w:val="32"/>
          <w:shd w:val="clear" w:color="auto" w:fill="auto"/>
          <w:lang w:val="en-US" w:eastAsia="zh-CN"/>
        </w:rPr>
        <w:t>3.8</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占总支出0.42</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三、部门专项组织实施情况</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（一）专项组织情况分析。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1、严格管理项目申报流程，对所申报项目开展论证，从中选优立项。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2、制定了项目总体实施方案，并指导各项目依据总体实施方案和项目批复文件的要求，落实各个项目的具体实施过程，并明确责任主体，使项目管理进一步规范。</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（二）专项管理情况分析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加强项目管理，结合实际，根据</w:t>
      </w:r>
      <w:r>
        <w:rPr>
          <w:rFonts w:hint="eastAsia" w:ascii="Times New Roman" w:hAnsi="Times New Roman" w:eastAsia="仿宋_GB2312" w:cs="Times New Roman"/>
          <w:sz w:val="32"/>
          <w:szCs w:val="32"/>
          <w:lang w:val="en-US" w:eastAsia="zh-CN"/>
        </w:rPr>
        <w:t>省财政厅、省工信厅、省科技厅下发的各类资金管理制度</w:t>
      </w:r>
      <w:r>
        <w:rPr>
          <w:rFonts w:ascii="Times New Roman" w:hAnsi="Times New Roman" w:eastAsia="仿宋_GB2312" w:cs="Times New Roman"/>
          <w:sz w:val="32"/>
          <w:szCs w:val="32"/>
        </w:rPr>
        <w:t>文件制定我</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rPr>
        <w:t>专项资金管理办法，根据项目要求下达的任务，对项目实施进程进行督查，在各项目进程中的关键环节中，组织项目管理相关部门对项目实施情况进行抽查督查。</w:t>
      </w:r>
    </w:p>
    <w:p>
      <w:pPr>
        <w:ind w:firstLine="640" w:firstLineChars="200"/>
        <w:rPr>
          <w:rFonts w:ascii="黑体" w:hAnsi="黑体" w:eastAsia="黑体" w:cs="黑体"/>
          <w:sz w:val="32"/>
          <w:szCs w:val="32"/>
        </w:rPr>
      </w:pPr>
      <w:r>
        <w:rPr>
          <w:rFonts w:hint="eastAsia" w:ascii="黑体" w:hAnsi="黑体" w:eastAsia="黑体" w:cs="黑体"/>
          <w:sz w:val="32"/>
          <w:szCs w:val="32"/>
        </w:rPr>
        <w:t>四、资产管理情况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为规范和加强固定资产管理，我局制定了《固定资产管理办法》，资产管理具体由办公室负责，统一资产处置和购置管理。财</w:t>
      </w:r>
      <w:r>
        <w:rPr>
          <w:rFonts w:hint="eastAsia" w:ascii="Times New Roman" w:hAnsi="Times New Roman" w:eastAsia="仿宋_GB2312" w:cs="Times New Roman"/>
          <w:sz w:val="32"/>
          <w:szCs w:val="32"/>
          <w:lang w:val="en-US" w:eastAsia="zh-CN"/>
        </w:rPr>
        <w:t>务</w:t>
      </w:r>
      <w:r>
        <w:rPr>
          <w:rFonts w:ascii="Times New Roman" w:hAnsi="Times New Roman" w:eastAsia="仿宋_GB2312" w:cs="Times New Roman"/>
          <w:sz w:val="32"/>
          <w:szCs w:val="32"/>
        </w:rPr>
        <w:t>股负责登记造册备案，每年建立</w:t>
      </w:r>
      <w:r>
        <w:rPr>
          <w:rFonts w:hint="eastAsia" w:ascii="Times New Roman" w:hAnsi="Times New Roman" w:eastAsia="仿宋_GB2312" w:cs="Times New Roman"/>
          <w:sz w:val="32"/>
          <w:szCs w:val="32"/>
          <w:lang w:val="en-US" w:eastAsia="zh-CN"/>
        </w:rPr>
        <w:t>更新</w:t>
      </w:r>
      <w:r>
        <w:rPr>
          <w:rFonts w:ascii="Times New Roman" w:hAnsi="Times New Roman" w:eastAsia="仿宋_GB2312" w:cs="Times New Roman"/>
          <w:sz w:val="32"/>
          <w:szCs w:val="32"/>
        </w:rPr>
        <w:t>台账。物品由各股室主要负责人管理。对报废物品实施申报、上报相关部门审批处理，并建立报废处理清单。</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部门整体支出绩效情况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_GB2312" w:eastAsia="仿宋_GB2312"/>
          <w:sz w:val="32"/>
          <w:szCs w:val="32"/>
        </w:rPr>
      </w:pPr>
      <w:r>
        <w:rPr>
          <w:rFonts w:hint="eastAsia" w:ascii="Times New Roman" w:hAnsi="Times New Roman" w:eastAsia="仿宋_GB2312" w:cs="Times New Roman"/>
          <w:kern w:val="2"/>
          <w:sz w:val="32"/>
          <w:szCs w:val="32"/>
          <w:lang w:val="en-US" w:eastAsia="zh-CN" w:bidi="ar-SA"/>
        </w:rPr>
        <w:t>按照预算绩效管理工作的总体要求，2023年整体支出890.65万元，其中：基本支出802.65万元，项目支出88万元，全部实行整体支出绩效目标管理。</w:t>
      </w:r>
      <w:r>
        <w:rPr>
          <w:rFonts w:hint="eastAsia" w:ascii="仿宋_GB2312" w:eastAsia="仿宋_GB2312"/>
          <w:sz w:val="32"/>
          <w:szCs w:val="32"/>
        </w:rPr>
        <w:t>2023年以来，</w:t>
      </w:r>
      <w:r>
        <w:rPr>
          <w:rFonts w:hint="eastAsia" w:eastAsia="仿宋_GB2312"/>
          <w:sz w:val="32"/>
          <w:szCs w:val="32"/>
          <w:lang w:val="en-US" w:eastAsia="zh-CN"/>
        </w:rPr>
        <w:t>我局认真贯彻市委、市政府决策部署，按照“工业领航、绿色崛起、城乡协调、民生共享”发展思路，以产业强市为主线，以项目建设为载体，以高效服务为抓手，引领全市科技和工业信息化工作高质量</w:t>
      </w:r>
      <w:r>
        <w:rPr>
          <w:rFonts w:eastAsia="仿宋_GB2312"/>
          <w:sz w:val="32"/>
          <w:szCs w:val="32"/>
        </w:rPr>
        <w:t>发展</w:t>
      </w:r>
      <w:r>
        <w:rPr>
          <w:rFonts w:hint="eastAsia" w:eastAsia="仿宋_GB2312"/>
          <w:sz w:val="32"/>
          <w:szCs w:val="32"/>
          <w:lang w:eastAsia="zh-CN"/>
        </w:rPr>
        <w:t>，</w:t>
      </w:r>
      <w:r>
        <w:rPr>
          <w:rFonts w:hint="eastAsia" w:ascii="仿宋_GB2312" w:eastAsia="仿宋_GB2312"/>
          <w:sz w:val="32"/>
          <w:szCs w:val="32"/>
        </w:rPr>
        <w:t>自评得分95分。</w:t>
      </w:r>
    </w:p>
    <w:p>
      <w:pPr>
        <w:numPr>
          <w:ilvl w:val="0"/>
          <w:numId w:val="0"/>
        </w:numPr>
        <w:ind w:firstLine="643" w:firstLineChars="200"/>
        <w:jc w:val="both"/>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val="en-US" w:eastAsia="zh-CN"/>
        </w:rPr>
        <w:t>1、抓实研判监测，力克时艰行稳有升。</w:t>
      </w:r>
      <w:r>
        <w:rPr>
          <w:rFonts w:hint="eastAsia" w:ascii="Times New Roman" w:hAnsi="Times New Roman" w:eastAsia="仿宋_GB2312" w:cs="Times New Roman"/>
          <w:kern w:val="2"/>
          <w:sz w:val="32"/>
          <w:szCs w:val="32"/>
          <w:lang w:val="en-US" w:eastAsia="zh-CN" w:bidi="ar-SA"/>
        </w:rPr>
        <w:t>组织相关局、企业业务人员赴湖南大学开展为期四天的集中培训，坚持每月三次分析研判，重点掌握亿元以上的重点企业和原地倍增企业的发展情况，做到应报尽报，应统尽统。特别是对我市规模工业增加值进行科学研判，加强对增加值系数高的行业、企业联网直报的指导和培训，打破了以往规工增值增速与产值增速基本等同的禁锢，确保了规模工业增加值增速实现逆势上扬。1-12月份，完成工业总产值366.49亿元，高出衡阳市县市区第二位近一倍；规上工业增加值增速14.3%，高出衡阳市平均增速7.1个百分点，在衡阳市排位第3。工业上缴税收合计11.3亿元，同比增长14.02%。工业用电量达1.83亿千瓦时，同比增长3.42%。制造业投资完成81.22亿元，同比增速53.5%，高出衡阳市县市区第二位18个百分点。2023年，我市被评为全省工业经济运行监测协调工作先进单位，常宁促进园区工业高质量发展获省政府真抓实干表彰激励。</w:t>
      </w:r>
    </w:p>
    <w:p>
      <w:pPr>
        <w:ind w:firstLine="643" w:firstLineChars="200"/>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val="en-US" w:eastAsia="zh-CN"/>
        </w:rPr>
        <w:t>2、实施梯度培育，力争发展增势蓄能。</w:t>
      </w:r>
      <w:r>
        <w:rPr>
          <w:rFonts w:hint="eastAsia" w:ascii="Times New Roman" w:hAnsi="Times New Roman" w:eastAsia="仿宋_GB2312" w:cs="Times New Roman"/>
          <w:kern w:val="2"/>
          <w:sz w:val="32"/>
          <w:szCs w:val="32"/>
          <w:lang w:val="en-US" w:eastAsia="zh-CN" w:bidi="ar-SA"/>
        </w:rPr>
        <w:t>深入实施企业“梯度培育”、“原地倍增”专项行动，进一步强化“后备企业→规工企业→科技型（创新型）中小企业→高新技术企业→专精特新企业→小巨人企业→单项产品冠军企业”全链条培育，以数字化、智能化赋能企业，释放发展新动能。全年新增规工企业23家，培育省专精特新企业14家（含复核2家），隆源铜业获评省单项产品冠军企业，德邦生物科技获评制造业品牌示范企业，德邦生物科技获评湖湘精品品牌能力建设示范企业（衡阳6家），高诺、水口山有色被认定为省原材料工业“三品”标杆企业（衡阳3家）。推动产业绿色发展，株冶有色成功创建国家绿色工厂，水口山经开区成功创建省级绿色园区，均实现破零；高诺铜业、共建新材料等2家企业成功创建省级绿色工厂，共建新材料、隆源科技、嘉兴木业等3家企业成功申报省清洁生产企业，德邦生物科技被认定省新材料企业，培育各类别企业数量均居衡阳前列。推动企业原地倍增，金翼有色、隆源科技、水口山有色、共建新材料等企业产值实现了20%以上的增长。</w:t>
      </w:r>
    </w:p>
    <w:p>
      <w:pPr>
        <w:ind w:firstLine="643" w:firstLineChars="200"/>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val="en-US" w:eastAsia="zh-CN"/>
        </w:rPr>
        <w:t>3、推动项目建设，力促产业基础厚植。</w:t>
      </w:r>
      <w:r>
        <w:rPr>
          <w:rFonts w:hint="eastAsia" w:ascii="Times New Roman" w:hAnsi="Times New Roman" w:eastAsia="仿宋_GB2312" w:cs="Times New Roman"/>
          <w:kern w:val="2"/>
          <w:sz w:val="32"/>
          <w:szCs w:val="32"/>
          <w:lang w:val="en-US" w:eastAsia="zh-CN" w:bidi="ar-SA"/>
        </w:rPr>
        <w:t>紧扣有色金属和纺织服装两大产业，加大项目建设跟踪服务力度，推动项目竣工投产，力争我市工业体量和质量加快提升。在有色产业方面，目前常宁有色产业链上项目达36个，铜铅锌三条全产业链逐步完善。其中，康家湾矿70万吨采选技术升级改造工程项目已进入试产、五矿铜业5万吨阴极铜挖潜改造项目已开工建设、金翼铅业30万吨铅基合金正在加快实施。</w:t>
      </w:r>
      <w:r>
        <w:rPr>
          <w:rFonts w:hint="default" w:ascii="Times New Roman" w:hAnsi="Times New Roman" w:eastAsia="仿宋_GB2312" w:cs="Times New Roman"/>
          <w:kern w:val="2"/>
          <w:sz w:val="32"/>
          <w:szCs w:val="32"/>
          <w:lang w:val="en-US" w:eastAsia="zh-CN" w:bidi="ar-SA"/>
        </w:rPr>
        <w:t>金紫宇</w:t>
      </w:r>
      <w:r>
        <w:rPr>
          <w:rFonts w:hint="eastAsia" w:ascii="Times New Roman" w:hAnsi="Times New Roman" w:eastAsia="仿宋_GB2312" w:cs="Times New Roman"/>
          <w:kern w:val="2"/>
          <w:sz w:val="32"/>
          <w:szCs w:val="32"/>
          <w:lang w:val="en-US" w:eastAsia="zh-CN" w:bidi="ar-SA"/>
        </w:rPr>
        <w:t>正在进行设备调试；瑞科美正在进行厂房建设；玉兔钛业、华尊环保、承泰化工等企业已进入试产阶段。在纺织服装产业方面，目前服饰生产园集聚效应显现，招商入驻企业21家，已有11家企业投产。环保设施园全产业链投产在即，招商入园企业9家，一期标准厂房、动力中心、厂区服务站，园区给排水管网工程全部完成建设，达到交付条件，并交付给两家企业入园装修待投产。热电联产、污水处理、工业给水等项目已经进入设备调试阶段。基地二期引入引领性龙头企业，与浙江昌信集团达成战略合作。</w:t>
      </w:r>
    </w:p>
    <w:p>
      <w:pPr>
        <w:ind w:firstLine="640"/>
        <w:rPr>
          <w:rFonts w:ascii="仿宋_GB2312" w:eastAsia="仿宋_GB2312"/>
          <w:sz w:val="32"/>
          <w:szCs w:val="32"/>
        </w:rPr>
      </w:pPr>
      <w:r>
        <w:rPr>
          <w:rFonts w:hint="eastAsia" w:ascii="楷体" w:hAnsi="楷体" w:eastAsia="楷体" w:cs="楷体"/>
          <w:b/>
          <w:bCs/>
          <w:i w:val="0"/>
          <w:caps w:val="0"/>
          <w:spacing w:val="0"/>
          <w:w w:val="100"/>
          <w:sz w:val="32"/>
          <w:szCs w:val="32"/>
          <w:lang w:val="en-US" w:eastAsia="zh-CN"/>
        </w:rPr>
        <w:t>4、</w:t>
      </w:r>
      <w:r>
        <w:rPr>
          <w:rFonts w:hint="eastAsia" w:ascii="楷体" w:hAnsi="楷体" w:eastAsia="楷体" w:cs="楷体"/>
          <w:b/>
          <w:bCs/>
          <w:color w:val="000000"/>
          <w:sz w:val="32"/>
          <w:szCs w:val="32"/>
          <w:lang w:val="en-US" w:eastAsia="zh-CN"/>
        </w:rPr>
        <w:t>强化创新驱动，力求科技活力迸发。</w:t>
      </w:r>
      <w:r>
        <w:rPr>
          <w:rFonts w:hint="eastAsia" w:ascii="Times New Roman" w:hAnsi="Times New Roman" w:eastAsia="仿宋_GB2312" w:cs="Times New Roman"/>
          <w:kern w:val="2"/>
          <w:sz w:val="32"/>
          <w:szCs w:val="32"/>
          <w:lang w:val="en-US" w:eastAsia="zh-CN" w:bidi="ar-SA"/>
        </w:rPr>
        <w:t>持续强化科技创新平台建设，不断夯实科技成果转化，加大对企业研发投入和高企培育的指导，激发企业发展活力。科技指标更加优化。其中，全市R&amp;D投入11.7亿元，同比增长10.4%，研发投入总量在衡阳市排名第2；全年共申报成功29家高新技术企业，其中净增15家，在衡阳市排名第1；完成有效技术合同交易额32.26亿元，合同登记500件；科技型中小企业入库117家。创新平台更加夯实。今年，我市新增国省科创平台5家。其中，国家级专家服务基地1家，国家级博士后科研工作站1家，省级工程技术研究中心1家，省级企业技术中心2家。金紫宇公司获衡创新创业大赛第一名、省二等奖，伟大农业获省创新创业大赛二等奖，一滴香、大禾坪获省三等奖。成功创建“潇湘科技要素大市场常宁工作站”进一步为企业发展科技赋能。科技活动周工作获科技部表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val="en-US" w:eastAsia="zh-CN"/>
        </w:rPr>
        <w:t>5、实施数转智改，力主三化提质扩容。</w:t>
      </w:r>
      <w:r>
        <w:rPr>
          <w:rFonts w:hint="eastAsia" w:ascii="Times New Roman" w:hAnsi="Times New Roman" w:eastAsia="仿宋_GB2312" w:cs="Times New Roman"/>
          <w:kern w:val="2"/>
          <w:sz w:val="32"/>
          <w:szCs w:val="32"/>
          <w:lang w:val="en-US" w:eastAsia="zh-CN" w:bidi="ar-SA"/>
        </w:rPr>
        <w:t>开展了“智赋万企”行动，推动相关企业数字化、网络化、智能化转型，促进企业高端化、智能化、绿色化发展。4月21日，组织召开了全市“智赋万企”推进大会，并协同三大运营商及专家团队对全市企业开展上门服务。全年，我市水口山有色入围省数字新基建100个标志性项目（衡阳4家），并被省电视台推介。隆源铜业、高诺铜业获得省两化融合管理体系贯标试点企业，水口山有色、高诺（衡阳）产业园被认定为省工业互联网企业网络安全分类分级管理参与企业，高诺新材料、嘉兴木业、过龙岭生态农业、株冶有色、五矿铍业等五家企业入围省制造业数字化转型“三化”重点项目，新增627家企业上云、145家企业上平台。加快新基建，畅通了数字经济“大动脉”，保障了网络通信畅通。今年全市新建通信基站225个（其中5G基站132个，4G基站93个），新增千兆光纤端口完成4644个，超额完成全年任务。及时落实了代表、委员提出的村移动信号网络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6、开展精准服务，力助企业纾困增效。</w:t>
      </w:r>
      <w:r>
        <w:rPr>
          <w:rFonts w:hint="eastAsia" w:ascii="Times New Roman" w:hAnsi="Times New Roman" w:eastAsia="仿宋_GB2312" w:cs="Times New Roman"/>
          <w:kern w:val="2"/>
          <w:sz w:val="32"/>
          <w:szCs w:val="32"/>
          <w:lang w:val="en-US" w:eastAsia="zh-CN" w:bidi="ar-SA"/>
        </w:rPr>
        <w:t>创造性开展“益企护航”专项行动，组织了“亿元企业建设”、“规工企业培育”、“三送三解三优”等主题活动，建立问题收集、交办、督办机制，有力推进了助企纾困解难工作；落实领导联企制度，将“送解优”情况及时短信推送至相关领导、部门和企业，进一步融洽了“亲清”政商关系；在衡阳县市中首个开展科技型企业知识价值信贷工作，使“知识”变现，目前有6家银行开办此项业务，共为企业发放32笔贷款共计5700万元；共组织了485余家企业入驻“湘企融”，商业信用价值贷款支持近亿元。年初编发《常宁市科工信领域争资跑项一览表》1000余份，把惠企政策第一时间让企业知晓，并主动上门帮助企业做好项目申报和政策落实。今年，我市申报省先进制造业高地项目13个，共计获得780万元；省工业企业技术改造税收增量贡献专项 7个，共计995万元；省中小专项项目17个，共计245万元；衡阳市科技项目5个，共计100万元；省里科技项目3个，共计70万元；研发奖补项目4个，共计388.79万元。项目数量、额度居衡阳市前列。中小企业公共服务工作2023年获全省先进单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sz w:val="32"/>
          <w:szCs w:val="32"/>
          <w:lang w:val="en-US" w:eastAsia="zh-CN"/>
        </w:rPr>
        <w:t>7、坚持底线思维，力保夯实底线工作。</w:t>
      </w:r>
      <w:r>
        <w:rPr>
          <w:rFonts w:hint="eastAsia" w:ascii="Times New Roman" w:hAnsi="Times New Roman" w:eastAsia="仿宋_GB2312" w:cs="Times New Roman"/>
          <w:b/>
          <w:bCs/>
          <w:kern w:val="2"/>
          <w:sz w:val="32"/>
          <w:szCs w:val="32"/>
          <w:lang w:val="en-US" w:eastAsia="zh-CN" w:bidi="ar-SA"/>
        </w:rPr>
        <w:t>一是做实做细党建工作。</w:t>
      </w:r>
      <w:r>
        <w:rPr>
          <w:rFonts w:hint="eastAsia" w:ascii="Times New Roman" w:hAnsi="Times New Roman" w:eastAsia="仿宋_GB2312" w:cs="Times New Roman"/>
          <w:kern w:val="2"/>
          <w:sz w:val="32"/>
          <w:szCs w:val="32"/>
          <w:lang w:val="en-US" w:eastAsia="zh-CN" w:bidi="ar-SA"/>
        </w:rPr>
        <w:t>机关一、二支部合并成立了机关党支部，2个老干支部完成了换届，选优配强了支部班子。结合“一月一课一片一实践”活动，以“党建促融合、工业促发展”为主题，由业务股室负责轮流授课，有效开展了“周五课堂”活动。组织全局机关在职和退休党员赴桂东参加主题党日活动，并举办了以“讲党性、守党规、严党纪”为主题的座谈会。以“我为群众办实事”为主题，组织党员干部到乡村振兴联点村开展“送书上门、送学到家”“科技成果智赋乡村”等活动。</w:t>
      </w:r>
      <w:r>
        <w:rPr>
          <w:rFonts w:hint="eastAsia" w:ascii="Times New Roman" w:hAnsi="Times New Roman" w:eastAsia="仿宋_GB2312" w:cs="Times New Roman"/>
          <w:b/>
          <w:bCs/>
          <w:kern w:val="2"/>
          <w:sz w:val="32"/>
          <w:szCs w:val="32"/>
          <w:lang w:val="en-US" w:eastAsia="zh-CN" w:bidi="ar-SA"/>
        </w:rPr>
        <w:t>二是强化意识形态促进宣传引导。</w:t>
      </w:r>
      <w:r>
        <w:rPr>
          <w:rFonts w:hint="eastAsia" w:ascii="Times New Roman" w:hAnsi="Times New Roman" w:eastAsia="仿宋_GB2312" w:cs="Times New Roman"/>
          <w:kern w:val="2"/>
          <w:sz w:val="32"/>
          <w:szCs w:val="32"/>
          <w:lang w:val="en-US" w:eastAsia="zh-CN" w:bidi="ar-SA"/>
        </w:rPr>
        <w:t>全年局党组中心理论组集中学习13次，重点学习了习近平新时代中国特色社会主义思想，以及习近平对新型工业化工作的重要论述和批示精神，进一步提高了理论政策水平。积极总结了科技、工业和信息化工作中的先进经验典型，在新闻媒体共发表了宣传报道38篇。其中，《株冶有色成功跻身国家级“绿色工厂”行列》被省工信厅、衡阳日报推介。</w:t>
      </w:r>
      <w:r>
        <w:rPr>
          <w:rFonts w:hint="eastAsia" w:ascii="Times New Roman" w:hAnsi="Times New Roman" w:eastAsia="仿宋_GB2312" w:cs="Times New Roman"/>
          <w:b/>
          <w:bCs/>
          <w:kern w:val="2"/>
          <w:sz w:val="32"/>
          <w:szCs w:val="32"/>
          <w:lang w:val="en-US" w:eastAsia="zh-CN" w:bidi="ar-SA"/>
        </w:rPr>
        <w:t>三是以人为本办好民生实事。</w:t>
      </w:r>
      <w:r>
        <w:rPr>
          <w:rFonts w:hint="eastAsia" w:ascii="Times New Roman" w:hAnsi="Times New Roman" w:eastAsia="仿宋_GB2312" w:cs="Times New Roman"/>
          <w:kern w:val="2"/>
          <w:sz w:val="32"/>
          <w:szCs w:val="32"/>
          <w:lang w:val="en-US" w:eastAsia="zh-CN" w:bidi="ar-SA"/>
        </w:rPr>
        <w:t>认真做好市管干部职级晋升工作，全年我局晋升四级调研员1名、一级主任科员4名、二级主任科员3名、三级主任科员2名。完成了5名工勤编制考工定级的晋级工作。顺利完成了电力行政执法大队职能划转及增设原材料与消费品股，撤并了原经委计生服务站等“小弱散”事业单位编制工作。</w:t>
      </w:r>
      <w:r>
        <w:rPr>
          <w:rFonts w:hint="eastAsia" w:ascii="Times New Roman" w:hAnsi="Times New Roman" w:eastAsia="仿宋_GB2312" w:cs="Times New Roman"/>
          <w:b/>
          <w:bCs/>
          <w:kern w:val="2"/>
          <w:sz w:val="32"/>
          <w:szCs w:val="32"/>
          <w:lang w:val="en-US" w:eastAsia="zh-CN" w:bidi="ar-SA"/>
        </w:rPr>
        <w:t>四是夯实综治维稳确保一方平安。</w:t>
      </w:r>
      <w:r>
        <w:rPr>
          <w:rFonts w:hint="eastAsia" w:ascii="Times New Roman" w:hAnsi="Times New Roman" w:eastAsia="仿宋_GB2312" w:cs="Times New Roman"/>
          <w:kern w:val="2"/>
          <w:sz w:val="32"/>
          <w:szCs w:val="32"/>
          <w:lang w:val="en-US" w:eastAsia="zh-CN" w:bidi="ar-SA"/>
        </w:rPr>
        <w:t>全年共接访85起，接访人数达448人。上级批复的信访件22件，本单位接访件25件，已100%进行了回复，满意率达98.8%。其中，对原惠丰公司沉淀十五年之久的历史遗留问题，通过我局向市委市政府积极争取，从本系统改制结余资金中调剂248万元来解决职工的应得利益，确保做到了矛盾不上交。</w:t>
      </w:r>
      <w:r>
        <w:rPr>
          <w:rFonts w:hint="eastAsia" w:ascii="Times New Roman" w:hAnsi="Times New Roman" w:eastAsia="仿宋_GB2312" w:cs="Times New Roman"/>
          <w:b/>
          <w:bCs/>
          <w:kern w:val="2"/>
          <w:sz w:val="32"/>
          <w:szCs w:val="32"/>
          <w:lang w:val="en-US" w:eastAsia="zh-CN" w:bidi="ar-SA"/>
        </w:rPr>
        <w:t>五是以强化作风保障机关能力建设。</w:t>
      </w:r>
      <w:r>
        <w:rPr>
          <w:rFonts w:hint="eastAsia" w:ascii="Times New Roman" w:hAnsi="Times New Roman" w:eastAsia="仿宋_GB2312" w:cs="Times New Roman"/>
          <w:kern w:val="2"/>
          <w:sz w:val="32"/>
          <w:szCs w:val="32"/>
          <w:lang w:val="en-US" w:eastAsia="zh-CN" w:bidi="ar-SA"/>
        </w:rPr>
        <w:t>组织全局干部职工参观“清廉常宁”文化作品展和禁毒作品展，观看《八百矿工上井冈》和禁毒警示教育片，开展向全局干部职工及家属征集家书、家训、家规等反映清廉家风的文化宣传作品活动，按照国企“五有三严禁”、民企“五不”有效组织开展了清廉企业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b w:val="0"/>
          <w:bCs w:val="0"/>
          <w:kern w:val="2"/>
          <w:sz w:val="32"/>
          <w:szCs w:val="32"/>
          <w:lang w:val="en-US" w:eastAsia="zh-CN" w:bidi="zh-CN"/>
        </w:rPr>
      </w:pPr>
      <w:r>
        <w:rPr>
          <w:rFonts w:hint="eastAsia" w:ascii="楷体" w:hAnsi="楷体" w:eastAsia="楷体" w:cs="楷体"/>
          <w:b/>
          <w:bCs/>
          <w:sz w:val="32"/>
          <w:szCs w:val="32"/>
          <w:lang w:val="en-US" w:eastAsia="zh-CN"/>
        </w:rPr>
        <w:t>1、面临增长乏</w:t>
      </w:r>
      <w:bookmarkStart w:id="0" w:name="_GoBack"/>
      <w:bookmarkEnd w:id="0"/>
      <w:r>
        <w:rPr>
          <w:rFonts w:hint="eastAsia" w:ascii="楷体" w:hAnsi="楷体" w:eastAsia="楷体" w:cs="楷体"/>
          <w:b/>
          <w:bCs/>
          <w:sz w:val="32"/>
          <w:szCs w:val="32"/>
          <w:lang w:val="en-US" w:eastAsia="zh-CN"/>
        </w:rPr>
        <w:t>力的困境。</w:t>
      </w:r>
      <w:r>
        <w:rPr>
          <w:rFonts w:hint="eastAsia" w:ascii="宋体" w:hAnsi="宋体" w:eastAsia="仿宋_GB2312" w:cs="宋体"/>
          <w:b w:val="0"/>
          <w:bCs w:val="0"/>
          <w:kern w:val="2"/>
          <w:sz w:val="32"/>
          <w:szCs w:val="32"/>
          <w:lang w:val="en-US" w:eastAsia="zh-CN" w:bidi="zh-CN"/>
        </w:rPr>
        <w:t>一是统计口径变化的压力；二是项目建设推进滞后的压力。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宋体"/>
          <w:b/>
          <w:bCs/>
          <w:kern w:val="2"/>
          <w:sz w:val="32"/>
          <w:szCs w:val="32"/>
          <w:lang w:val="en-US" w:eastAsia="zh-CN" w:bidi="zh-CN"/>
        </w:rPr>
      </w:pPr>
      <w:r>
        <w:rPr>
          <w:rFonts w:hint="eastAsia" w:ascii="楷体" w:hAnsi="楷体" w:eastAsia="楷体" w:cs="楷体"/>
          <w:b/>
          <w:bCs/>
          <w:sz w:val="32"/>
          <w:szCs w:val="32"/>
          <w:lang w:val="en-US" w:eastAsia="zh-CN"/>
        </w:rPr>
        <w:t>2、面临转型升级的困境。</w:t>
      </w:r>
      <w:r>
        <w:rPr>
          <w:rFonts w:hint="eastAsia" w:ascii="宋体" w:hAnsi="宋体" w:eastAsia="仿宋_GB2312" w:cs="宋体"/>
          <w:b w:val="0"/>
          <w:bCs w:val="0"/>
          <w:kern w:val="2"/>
          <w:sz w:val="32"/>
          <w:szCs w:val="32"/>
          <w:lang w:val="en-US" w:eastAsia="zh-CN" w:bidi="zh-CN"/>
        </w:rPr>
        <w:t>一是“智赋万企”成效还不明显；二是创“三品”意识还不够。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宋体"/>
          <w:bCs/>
          <w:sz w:val="32"/>
          <w:szCs w:val="32"/>
          <w:shd w:val="clear" w:color="auto" w:fill="FFFFFF"/>
          <w:lang w:val="en-US" w:eastAsia="zh-CN"/>
        </w:rPr>
      </w:pPr>
      <w:r>
        <w:rPr>
          <w:rFonts w:hint="eastAsia" w:ascii="楷体" w:hAnsi="楷体" w:eastAsia="楷体" w:cs="楷体"/>
          <w:b/>
          <w:bCs/>
          <w:sz w:val="32"/>
          <w:szCs w:val="32"/>
          <w:lang w:val="en-US" w:eastAsia="zh-CN"/>
        </w:rPr>
        <w:t>3、面临优化环境的困境。</w:t>
      </w:r>
      <w:r>
        <w:rPr>
          <w:rFonts w:hint="eastAsia" w:ascii="宋体" w:hAnsi="宋体" w:eastAsia="仿宋_GB2312" w:cs="宋体"/>
          <w:b w:val="0"/>
          <w:bCs w:val="0"/>
          <w:kern w:val="2"/>
          <w:sz w:val="32"/>
          <w:szCs w:val="32"/>
          <w:lang w:val="en-US" w:eastAsia="zh-CN" w:bidi="zh-CN"/>
        </w:rPr>
        <w:t>一是服务意识还有待加强；二是面临融资难的困境；三是面临用工难的困境。</w:t>
      </w:r>
    </w:p>
    <w:p>
      <w:pPr>
        <w:pStyle w:val="2"/>
        <w:spacing w:before="0" w:after="0" w:line="580" w:lineRule="exact"/>
        <w:ind w:firstLine="640" w:firstLineChars="200"/>
        <w:rPr>
          <w:rFonts w:ascii="黑体" w:hAnsi="黑体" w:eastAsia="黑体" w:cs="黑体"/>
          <w:b w:val="0"/>
          <w:bCs w:val="0"/>
          <w:kern w:val="2"/>
          <w:sz w:val="32"/>
          <w:szCs w:val="32"/>
        </w:rPr>
      </w:pPr>
      <w:r>
        <w:rPr>
          <w:rFonts w:hint="eastAsia" w:ascii="黑体" w:hAnsi="黑体" w:eastAsia="黑体" w:cs="黑体"/>
          <w:b w:val="0"/>
          <w:bCs w:val="0"/>
          <w:kern w:val="2"/>
          <w:sz w:val="32"/>
          <w:szCs w:val="32"/>
        </w:rPr>
        <w:t>七、改进措施和建议</w:t>
      </w:r>
    </w:p>
    <w:p>
      <w:pPr>
        <w:pStyle w:val="2"/>
        <w:spacing w:before="0" w:after="0" w:line="580" w:lineRule="exact"/>
        <w:ind w:firstLine="640" w:firstLineChars="200"/>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 科学制定年度预算，充分预计和提前计划各项支出。</w:t>
      </w:r>
    </w:p>
    <w:p>
      <w:pPr>
        <w:pStyle w:val="2"/>
        <w:spacing w:before="0" w:after="0" w:line="580" w:lineRule="exact"/>
        <w:ind w:firstLine="640" w:firstLineChars="200"/>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 进一步建立健全预算绩效管理工作制度，加强预算绩效管理工作队伍建设，通过开展预算绩效管理工作培训、与财政和绩效管理先进单位交流学习等方式提高单位绩效管理工作能力和水平。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b w:val="0"/>
          <w:bCs w:val="0"/>
          <w:kern w:val="2"/>
          <w:sz w:val="32"/>
          <w:szCs w:val="32"/>
        </w:rPr>
        <w:t>3. 结合我</w:t>
      </w:r>
      <w:r>
        <w:rPr>
          <w:rFonts w:hint="eastAsia" w:ascii="Times New Roman" w:hAnsi="Times New Roman" w:eastAsia="仿宋_GB2312" w:cs="Times New Roman"/>
          <w:b w:val="0"/>
          <w:bCs w:val="0"/>
          <w:kern w:val="2"/>
          <w:sz w:val="32"/>
          <w:szCs w:val="32"/>
          <w:lang w:val="en-US" w:eastAsia="zh-CN"/>
        </w:rPr>
        <w:t>局</w:t>
      </w:r>
      <w:r>
        <w:rPr>
          <w:rFonts w:hint="eastAsia" w:ascii="Times New Roman" w:hAnsi="Times New Roman" w:eastAsia="仿宋_GB2312" w:cs="Times New Roman"/>
          <w:b w:val="0"/>
          <w:bCs w:val="0"/>
          <w:kern w:val="2"/>
          <w:sz w:val="32"/>
          <w:szCs w:val="32"/>
        </w:rPr>
        <w:t>工作实际特点，建立具有</w:t>
      </w:r>
      <w:r>
        <w:rPr>
          <w:rFonts w:hint="eastAsia" w:ascii="Times New Roman" w:hAnsi="Times New Roman" w:eastAsia="仿宋_GB2312" w:cs="Times New Roman"/>
          <w:b w:val="0"/>
          <w:bCs w:val="0"/>
          <w:kern w:val="2"/>
          <w:sz w:val="32"/>
          <w:szCs w:val="32"/>
          <w:lang w:val="en-US" w:eastAsia="zh-CN"/>
        </w:rPr>
        <w:t>科技和工业信息化</w:t>
      </w:r>
      <w:r>
        <w:rPr>
          <w:rFonts w:hint="eastAsia" w:ascii="Times New Roman" w:hAnsi="Times New Roman" w:eastAsia="仿宋_GB2312" w:cs="Times New Roman"/>
          <w:b w:val="0"/>
          <w:bCs w:val="0"/>
          <w:kern w:val="2"/>
          <w:sz w:val="32"/>
          <w:szCs w:val="32"/>
        </w:rPr>
        <w:t>领域特色的个性化绩效指标库。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_GB2312" w:eastAsia="仿宋_GB2312"/>
          <w:sz w:val="32"/>
          <w:szCs w:val="32"/>
          <w:lang w:val="en-US" w:eastAsia="zh-CN"/>
        </w:rPr>
      </w:pPr>
    </w:p>
    <w:p>
      <w:pPr>
        <w:pStyle w:val="2"/>
        <w:numPr>
          <w:numId w:val="0"/>
        </w:num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4DB1E"/>
    <w:multiLevelType w:val="singleLevel"/>
    <w:tmpl w:val="C104DB1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YzlhNjEwYzc4ZDUzNzI1ZDQ0ODBhNGEwM2UyYmYifQ=="/>
  </w:docVars>
  <w:rsids>
    <w:rsidRoot w:val="64AF1912"/>
    <w:rsid w:val="05C55124"/>
    <w:rsid w:val="067C4A3B"/>
    <w:rsid w:val="18ED3174"/>
    <w:rsid w:val="34140EA1"/>
    <w:rsid w:val="4191768D"/>
    <w:rsid w:val="60452E56"/>
    <w:rsid w:val="64AF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2024-05-18T07:59:00Z</dcterms:created>
  <dc:creator>Administrator</dc:creator>
  <cp:lastModifiedBy>Administrator</cp:lastModifiedBy>
  <dcterms:modified xsi:type="dcterms:W3CDTF">2024-05-18T09:28:47Z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50FB901AF2A543E9AC79664891050C7F_11</vt:lpwstr>
  </property>
</Properties>
</file>