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B8562">
      <w:pPr>
        <w:spacing w:line="580" w:lineRule="exact"/>
        <w:jc w:val="center"/>
        <w:rPr>
          <w:rFonts w:ascii="Times New Roman" w:hAnsi="Times New Roman" w:eastAsia="方正小标宋简体" w:cs="Times New Roman"/>
          <w:sz w:val="44"/>
          <w:szCs w:val="44"/>
        </w:rPr>
      </w:pPr>
    </w:p>
    <w:p w14:paraId="43C3BD2A">
      <w:pPr>
        <w:spacing w:line="580" w:lineRule="exact"/>
        <w:jc w:val="center"/>
        <w:rPr>
          <w:rFonts w:hint="eastAsia" w:ascii="黑体" w:hAnsi="黑体" w:eastAsia="黑体" w:cs="黑体"/>
          <w:sz w:val="44"/>
          <w:szCs w:val="44"/>
        </w:rPr>
      </w:pPr>
      <w:r>
        <w:rPr>
          <w:rFonts w:hint="eastAsia" w:ascii="黑体" w:hAnsi="黑体" w:eastAsia="黑体" w:cs="黑体"/>
          <w:sz w:val="44"/>
          <w:szCs w:val="44"/>
        </w:rPr>
        <w:t>常宁市庙前镇人民政府</w:t>
      </w:r>
    </w:p>
    <w:p w14:paraId="74199DB2">
      <w:pPr>
        <w:spacing w:line="580" w:lineRule="exact"/>
        <w:jc w:val="center"/>
        <w:rPr>
          <w:rFonts w:hint="eastAsia" w:ascii="黑体" w:hAnsi="黑体" w:eastAsia="黑体" w:cs="黑体"/>
          <w:sz w:val="44"/>
          <w:szCs w:val="44"/>
        </w:rPr>
      </w:pPr>
      <w:r>
        <w:rPr>
          <w:rFonts w:hint="eastAsia" w:ascii="黑体" w:hAnsi="黑体" w:eastAsia="黑体" w:cs="黑体"/>
          <w:sz w:val="44"/>
          <w:szCs w:val="44"/>
        </w:rPr>
        <w:t>2023年度部门整体支出绩效评价报告</w:t>
      </w:r>
    </w:p>
    <w:p w14:paraId="232F26C3">
      <w:pPr>
        <w:spacing w:line="580" w:lineRule="exact"/>
        <w:jc w:val="center"/>
        <w:rPr>
          <w:rFonts w:hint="eastAsia" w:ascii="黑体" w:hAnsi="黑体" w:eastAsia="黑体" w:cs="黑体"/>
          <w:sz w:val="44"/>
          <w:szCs w:val="44"/>
        </w:rPr>
      </w:pPr>
    </w:p>
    <w:p w14:paraId="7EF29147">
      <w:pPr>
        <w:spacing w:line="580" w:lineRule="exact"/>
        <w:ind w:firstLine="602" w:firstLineChars="200"/>
        <w:rPr>
          <w:rFonts w:hint="eastAsia" w:ascii="宋体" w:hAnsi="宋体" w:eastAsia="宋体" w:cs="宋体"/>
          <w:b/>
          <w:bCs/>
          <w:kern w:val="2"/>
          <w:sz w:val="30"/>
          <w:szCs w:val="30"/>
          <w:highlight w:val="white"/>
          <w:lang w:val="en-US" w:eastAsia="zh-CN" w:bidi="ar-SA"/>
        </w:rPr>
      </w:pPr>
      <w:r>
        <w:rPr>
          <w:rFonts w:hint="eastAsia" w:ascii="宋体" w:hAnsi="宋体" w:eastAsia="宋体" w:cs="宋体"/>
          <w:b/>
          <w:bCs/>
          <w:kern w:val="2"/>
          <w:sz w:val="30"/>
          <w:szCs w:val="30"/>
          <w:highlight w:val="white"/>
          <w:lang w:val="en-US" w:eastAsia="zh-CN" w:bidi="ar-SA"/>
        </w:rPr>
        <w:t>一、部门概况</w:t>
      </w:r>
    </w:p>
    <w:p w14:paraId="2E37BD12">
      <w:pPr>
        <w:pStyle w:val="7"/>
        <w:spacing w:after="0"/>
        <w:ind w:left="0" w:leftChars="0" w:firstLine="562" w:firstLineChars="200"/>
        <w:rPr>
          <w:rFonts w:hint="eastAsia" w:ascii="宋体" w:hAnsi="宋体" w:eastAsia="宋体" w:cs="宋体"/>
          <w:b/>
          <w:bCs/>
          <w:kern w:val="2"/>
          <w:sz w:val="28"/>
          <w:szCs w:val="28"/>
          <w:highlight w:val="white"/>
          <w:lang w:val="en-US" w:eastAsia="zh-CN" w:bidi="ar-SA"/>
        </w:rPr>
      </w:pPr>
      <w:r>
        <w:rPr>
          <w:rFonts w:hint="eastAsia" w:ascii="宋体" w:hAnsi="宋体" w:eastAsia="宋体" w:cs="宋体"/>
          <w:b/>
          <w:bCs/>
          <w:kern w:val="2"/>
          <w:sz w:val="28"/>
          <w:szCs w:val="28"/>
          <w:highlight w:val="white"/>
          <w:lang w:val="en-US" w:eastAsia="zh-CN" w:bidi="ar-SA"/>
        </w:rPr>
        <w:t>（一）基本情况</w:t>
      </w:r>
    </w:p>
    <w:p w14:paraId="505CB6D3">
      <w:pPr>
        <w:pStyle w:val="7"/>
        <w:spacing w:after="0"/>
        <w:ind w:left="0" w:leftChars="0" w:firstLine="560" w:firstLineChars="200"/>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常宁市庙前镇人民政府位于常宁市南部，总面积约78.6平方公里，常宁市庙前镇人民政府共有11个行政村，1个社区，人口约2.1万人。</w:t>
      </w:r>
    </w:p>
    <w:p w14:paraId="38140911">
      <w:pPr>
        <w:pStyle w:val="6"/>
        <w:spacing w:beforeAutospacing="0" w:afterAutospacing="0" w:line="360" w:lineRule="auto"/>
        <w:ind w:firstLine="560" w:firstLineChars="200"/>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根据编委核定本单位内设处室</w:t>
      </w:r>
      <w:r>
        <w:rPr>
          <w:rFonts w:hint="eastAsia" w:eastAsia="宋体" w:cs="宋体"/>
          <w:kern w:val="2"/>
          <w:sz w:val="28"/>
          <w:szCs w:val="28"/>
          <w:highlight w:val="white"/>
          <w:lang w:val="en-US" w:eastAsia="zh-CN" w:bidi="ar-SA"/>
        </w:rPr>
        <w:t>10</w:t>
      </w:r>
      <w:r>
        <w:rPr>
          <w:rFonts w:hint="eastAsia" w:ascii="宋体" w:hAnsi="宋体" w:eastAsia="宋体" w:cs="宋体"/>
          <w:kern w:val="2"/>
          <w:sz w:val="28"/>
          <w:szCs w:val="28"/>
          <w:highlight w:val="white"/>
          <w:lang w:val="en-US" w:eastAsia="zh-CN" w:bidi="ar-SA"/>
        </w:rPr>
        <w:t>个，所属事业单位4个。其中：内设处室分别是党政综合办公室</w:t>
      </w:r>
      <w:bookmarkStart w:id="0" w:name="_GoBack"/>
      <w:bookmarkEnd w:id="0"/>
      <w:r>
        <w:rPr>
          <w:rFonts w:hint="eastAsia" w:ascii="宋体" w:hAnsi="宋体" w:eastAsia="宋体" w:cs="宋体"/>
          <w:kern w:val="2"/>
          <w:sz w:val="28"/>
          <w:szCs w:val="28"/>
          <w:highlight w:val="white"/>
          <w:lang w:val="en-US" w:eastAsia="zh-CN" w:bidi="ar-SA"/>
        </w:rPr>
        <w:t>、基层党建工作办公室、经济发展办公室、社会事务办公室、</w:t>
      </w:r>
      <w:r>
        <w:rPr>
          <w:rFonts w:hint="eastAsia" w:ascii="宋体" w:hAnsi="宋体" w:cs="仿宋"/>
          <w:bCs/>
          <w:sz w:val="28"/>
          <w:szCs w:val="28"/>
        </w:rPr>
        <w:t>自然资源和生态环境办公室、</w:t>
      </w:r>
      <w:r>
        <w:rPr>
          <w:rFonts w:hint="eastAsia" w:ascii="宋体" w:hAnsi="宋体" w:eastAsia="宋体" w:cs="宋体"/>
          <w:kern w:val="2"/>
          <w:sz w:val="28"/>
          <w:szCs w:val="28"/>
          <w:highlight w:val="white"/>
          <w:lang w:val="en-US" w:eastAsia="zh-CN" w:bidi="ar-SA"/>
        </w:rPr>
        <w:t>社会治安综合治理和应急管理办公室、农业综合服务中心、政务服务中心、社会事业综合服务中心、综合执法大队。所属事业单位分别是农业综合服务中心、政务服务中心、社会事业综合服务中心、综合执法大队。</w:t>
      </w:r>
    </w:p>
    <w:p w14:paraId="712202A0">
      <w:pPr>
        <w:pStyle w:val="12"/>
        <w:ind w:firstLine="640"/>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本部门编制数81人,在职人数63人，其中:在岗人数63人；离退休人数14人。</w:t>
      </w:r>
    </w:p>
    <w:p w14:paraId="1C3E6D8E">
      <w:pPr>
        <w:pStyle w:val="12"/>
        <w:ind w:firstLine="640"/>
        <w:rPr>
          <w:rFonts w:hint="eastAsia" w:ascii="宋体" w:hAnsi="宋体" w:eastAsia="宋体" w:cs="宋体"/>
          <w:b/>
          <w:bCs/>
          <w:kern w:val="2"/>
          <w:sz w:val="28"/>
          <w:szCs w:val="28"/>
          <w:highlight w:val="white"/>
          <w:lang w:val="en-US" w:eastAsia="zh-CN" w:bidi="ar-SA"/>
        </w:rPr>
      </w:pPr>
      <w:r>
        <w:rPr>
          <w:rFonts w:hint="eastAsia" w:ascii="宋体" w:hAnsi="宋体" w:eastAsia="宋体" w:cs="宋体"/>
          <w:b/>
          <w:bCs/>
          <w:kern w:val="2"/>
          <w:sz w:val="28"/>
          <w:szCs w:val="28"/>
          <w:highlight w:val="white"/>
          <w:lang w:val="en-US" w:eastAsia="zh-CN" w:bidi="ar-SA"/>
        </w:rPr>
        <w:t>（二）主要工作职能</w:t>
      </w:r>
    </w:p>
    <w:p w14:paraId="4F630B64">
      <w:pPr>
        <w:pStyle w:val="6"/>
        <w:spacing w:beforeAutospacing="0" w:afterAutospacing="0" w:line="360" w:lineRule="auto"/>
        <w:ind w:firstLine="560" w:firstLineChars="200"/>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1、宣传法律政策，促进村民自治。贯彻执行法律法规，落实党和国家的方针、政策，坚持依法行政，推进乡镇民主政治建设，加强基层党组织建设。</w:t>
      </w:r>
    </w:p>
    <w:p w14:paraId="398063D4">
      <w:pPr>
        <w:pStyle w:val="6"/>
        <w:spacing w:beforeAutospacing="0" w:afterAutospacing="0" w:line="360" w:lineRule="auto"/>
        <w:ind w:firstLine="560" w:firstLineChars="200"/>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2、发展农村经济，增加农民收入。组织指导农业和农村经济结构调整，加强农业综合生产能力建设；健全农业社会化服务体系，完善农业支持保护体系，推进农业现代化；支持保护农民兴办各种经济组织，组织引导农村富余劳动力向非农产业和城镇转移，增加农民收入，不断提高人民生活水平。</w:t>
      </w:r>
    </w:p>
    <w:p w14:paraId="64335687">
      <w:pPr>
        <w:pStyle w:val="6"/>
        <w:spacing w:beforeAutospacing="0" w:afterAutospacing="0" w:line="360" w:lineRule="auto"/>
        <w:ind w:firstLine="560" w:firstLineChars="200"/>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3、加强社会管理，创造良好环境。规范农村集体经济管理，推进政务、村务公开；抓好产业发展和稳岗就业，不断提高脱贫群众经济收入；加强安全生产和公共安全，组织抢险救灾、优抚救助，及时上报和处置重大社情、疫情、险情，保护人民群众的生命财产安全。</w:t>
      </w:r>
    </w:p>
    <w:p w14:paraId="18771F5F">
      <w:pPr>
        <w:pStyle w:val="6"/>
        <w:spacing w:beforeAutospacing="0" w:afterAutospacing="0" w:line="360" w:lineRule="auto"/>
        <w:ind w:firstLine="560" w:firstLineChars="200"/>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4、发展公益事业，提供公共服务。搞好乡村公共设施建设和小城镇建设，开展社会保障服务；发展科教文卫事业，提供经济发展和社会进步信息服务，促进精神文明建设。</w:t>
      </w:r>
    </w:p>
    <w:p w14:paraId="3F4C0455">
      <w:pPr>
        <w:pStyle w:val="6"/>
        <w:spacing w:beforeAutospacing="0" w:afterAutospacing="0" w:line="360" w:lineRule="auto"/>
        <w:ind w:firstLine="560" w:firstLineChars="200"/>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5、加强综合治理，维护社会稳定。调解民事纠纷，化解社会矛盾，接待上访群众，处理群体性突发事件，保证社会公正，维护社会秩序和社会稳定。</w:t>
      </w:r>
    </w:p>
    <w:p w14:paraId="0EB1A865">
      <w:pPr>
        <w:pStyle w:val="6"/>
        <w:spacing w:beforeAutospacing="0" w:afterAutospacing="0" w:line="360" w:lineRule="auto"/>
        <w:ind w:firstLine="560" w:firstLineChars="200"/>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6、贯彻执行相关法律法规，落实党和国家的方针、政策，承担上级交办的其他任务。</w:t>
      </w:r>
    </w:p>
    <w:p w14:paraId="6C0D845F">
      <w:pPr>
        <w:spacing w:line="580" w:lineRule="exact"/>
        <w:ind w:firstLine="602" w:firstLineChars="200"/>
        <w:rPr>
          <w:rFonts w:hint="eastAsia" w:ascii="宋体" w:hAnsi="宋体" w:eastAsia="宋体" w:cs="宋体"/>
          <w:b/>
          <w:bCs/>
          <w:kern w:val="2"/>
          <w:sz w:val="30"/>
          <w:szCs w:val="30"/>
          <w:highlight w:val="white"/>
          <w:lang w:val="en-US" w:eastAsia="zh-CN" w:bidi="ar-SA"/>
        </w:rPr>
      </w:pPr>
      <w:r>
        <w:rPr>
          <w:rFonts w:hint="eastAsia" w:ascii="宋体" w:hAnsi="宋体" w:eastAsia="宋体" w:cs="宋体"/>
          <w:b/>
          <w:bCs/>
          <w:kern w:val="2"/>
          <w:sz w:val="30"/>
          <w:szCs w:val="30"/>
          <w:highlight w:val="white"/>
          <w:lang w:val="en-US" w:eastAsia="zh-CN" w:bidi="ar-SA"/>
        </w:rPr>
        <w:t>二、部门整体支出情况</w:t>
      </w:r>
    </w:p>
    <w:p w14:paraId="39C3A0E7">
      <w:pPr>
        <w:pStyle w:val="6"/>
        <w:spacing w:beforeAutospacing="0" w:afterAutospacing="0" w:line="360" w:lineRule="auto"/>
        <w:ind w:firstLine="560" w:firstLineChars="200"/>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2023年常宁市庙前镇人民政府本年收入1844.31万元，其中，一般公共预算拨款1366.27万元，占总收入比重的74.</w:t>
      </w:r>
      <w:r>
        <w:rPr>
          <w:rFonts w:hint="eastAsia" w:eastAsia="宋体" w:cs="宋体"/>
          <w:kern w:val="2"/>
          <w:sz w:val="28"/>
          <w:szCs w:val="28"/>
          <w:highlight w:val="white"/>
          <w:lang w:val="en-US" w:eastAsia="zh-CN" w:bidi="ar-SA"/>
        </w:rPr>
        <w:t>1</w:t>
      </w:r>
      <w:r>
        <w:rPr>
          <w:rFonts w:hint="eastAsia" w:ascii="宋体" w:hAnsi="宋体" w:eastAsia="宋体" w:cs="宋体"/>
          <w:kern w:val="2"/>
          <w:sz w:val="28"/>
          <w:szCs w:val="28"/>
          <w:highlight w:val="white"/>
          <w:lang w:val="en-US" w:eastAsia="zh-CN" w:bidi="ar-SA"/>
        </w:rPr>
        <w:t>%，政府性基金预算拨款46.23万元，占总收入比重的2.5%,其他收入431.81万元，占总收入比重的23.4%，。</w:t>
      </w:r>
    </w:p>
    <w:p w14:paraId="3513366D">
      <w:pPr>
        <w:ind w:firstLine="560" w:firstLineChars="200"/>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本年支出1844.31万元，按支出性质分其中：基本支出888.67万元</w:t>
      </w:r>
      <w:r>
        <w:rPr>
          <w:rFonts w:hint="eastAsia" w:ascii="宋体" w:hAnsi="宋体" w:eastAsia="宋体" w:cs="宋体"/>
          <w:kern w:val="2"/>
          <w:sz w:val="28"/>
          <w:szCs w:val="28"/>
          <w:highlight w:val="white"/>
          <w:lang w:val="zh-CN" w:eastAsia="zh-CN" w:bidi="ar-SA"/>
        </w:rPr>
        <w:t>，</w:t>
      </w:r>
      <w:r>
        <w:rPr>
          <w:rFonts w:hint="eastAsia" w:ascii="宋体" w:hAnsi="宋体" w:eastAsia="宋体" w:cs="宋体"/>
          <w:kern w:val="2"/>
          <w:sz w:val="28"/>
          <w:szCs w:val="28"/>
          <w:highlight w:val="white"/>
          <w:lang w:val="en-US" w:eastAsia="zh-CN" w:bidi="ar-SA"/>
        </w:rPr>
        <w:t>占总支出48.2%，其中：人员经费721.58万元主要用于在职人员工资福利、社会保障缴费、基本养老保险缴费、医疗保险、住房公积金、绩效奖金等；公用经费167.09万元主要用于办公费、印刷费、会议费、公务用车维护费、差旅费、维修维护费、培训费、公务接待费、劳务费等；项目支出955.64万元，占总支出51.8%，主要为公租房基础建设资金、城乡治理资金、乡村振兴资金、烟叶生产发展资金、转移支付资金。</w:t>
      </w:r>
    </w:p>
    <w:p w14:paraId="5AF07DBB">
      <w:pPr>
        <w:ind w:firstLine="560" w:firstLineChars="200"/>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按支出经济分类分其中：工资福利支出753.83</w:t>
      </w:r>
      <w:r>
        <w:rPr>
          <w:rFonts w:hint="eastAsia" w:ascii="宋体" w:hAnsi="宋体" w:eastAsia="宋体" w:cs="宋体"/>
          <w:kern w:val="2"/>
          <w:sz w:val="28"/>
          <w:szCs w:val="28"/>
          <w:highlight w:val="white"/>
          <w:lang w:val="zh-CN" w:eastAsia="zh-CN" w:bidi="ar-SA"/>
        </w:rPr>
        <w:t>万元，</w:t>
      </w:r>
      <w:r>
        <w:rPr>
          <w:rFonts w:hint="eastAsia" w:ascii="宋体" w:hAnsi="宋体" w:eastAsia="宋体" w:cs="宋体"/>
          <w:kern w:val="2"/>
          <w:sz w:val="28"/>
          <w:szCs w:val="28"/>
          <w:highlight w:val="white"/>
          <w:lang w:val="en-US" w:eastAsia="zh-CN" w:bidi="ar-SA"/>
        </w:rPr>
        <w:t>占40.9%；商品和服务支出491.32万元，占26.6%；对个人和家庭的补助90.83万元，占4.9%；资本性支出508.33万元，占27.6%。</w:t>
      </w:r>
    </w:p>
    <w:p w14:paraId="29A303CA">
      <w:pPr>
        <w:ind w:firstLine="548" w:firstLineChars="196"/>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三公经费支出情况：全年预算19.37万元，本年实际支出19.37万元，完成预算的100%，其中：公务接待费17万元，公务用车运行维护费支出2.37万元。</w:t>
      </w:r>
    </w:p>
    <w:p w14:paraId="4E87DC98">
      <w:pPr>
        <w:spacing w:line="580" w:lineRule="exact"/>
        <w:ind w:firstLine="602" w:firstLineChars="200"/>
        <w:rPr>
          <w:rFonts w:hint="eastAsia" w:ascii="宋体" w:hAnsi="宋体" w:eastAsia="宋体" w:cs="宋体"/>
          <w:b/>
          <w:bCs/>
          <w:kern w:val="2"/>
          <w:sz w:val="30"/>
          <w:szCs w:val="30"/>
          <w:highlight w:val="white"/>
          <w:lang w:val="en-US" w:eastAsia="zh-CN" w:bidi="ar-SA"/>
        </w:rPr>
      </w:pPr>
      <w:r>
        <w:rPr>
          <w:rFonts w:hint="eastAsia" w:ascii="宋体" w:hAnsi="宋体" w:eastAsia="宋体" w:cs="宋体"/>
          <w:b/>
          <w:bCs/>
          <w:kern w:val="2"/>
          <w:sz w:val="30"/>
          <w:szCs w:val="30"/>
          <w:highlight w:val="white"/>
          <w:lang w:val="en-US" w:eastAsia="zh-CN" w:bidi="ar-SA"/>
        </w:rPr>
        <w:t>三、部门专项组织实施情况</w:t>
      </w:r>
    </w:p>
    <w:p w14:paraId="7621D883">
      <w:pPr>
        <w:ind w:firstLine="562" w:firstLineChars="200"/>
        <w:rPr>
          <w:rFonts w:hint="eastAsia" w:ascii="宋体" w:hAnsi="宋体" w:eastAsia="宋体" w:cs="宋体"/>
          <w:b/>
          <w:bCs/>
          <w:kern w:val="2"/>
          <w:sz w:val="28"/>
          <w:szCs w:val="28"/>
          <w:highlight w:val="white"/>
          <w:lang w:val="en-US" w:eastAsia="zh-CN" w:bidi="ar-SA"/>
        </w:rPr>
      </w:pPr>
      <w:r>
        <w:rPr>
          <w:rFonts w:hint="eastAsia" w:ascii="宋体" w:hAnsi="宋体" w:eastAsia="宋体" w:cs="宋体"/>
          <w:b/>
          <w:bCs/>
          <w:kern w:val="2"/>
          <w:sz w:val="28"/>
          <w:szCs w:val="28"/>
          <w:highlight w:val="white"/>
          <w:lang w:val="en-US" w:eastAsia="zh-CN" w:bidi="ar-SA"/>
        </w:rPr>
        <w:t>（一）专项组织情况分析</w:t>
      </w:r>
    </w:p>
    <w:p w14:paraId="564A8A44">
      <w:pPr>
        <w:ind w:firstLine="548" w:firstLineChars="196"/>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1、严格管理项目申报流程，对所申报项目开展论证，从中选优立项。</w:t>
      </w:r>
    </w:p>
    <w:p w14:paraId="6285B798">
      <w:pPr>
        <w:ind w:firstLine="548" w:firstLineChars="196"/>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2、制定了项目总体实施方案，并指导各项目依据总体实施方案和项目批复文件的要求，落实各个项目的具体实施过程，并明确责任主体，使项目管理进一步规范。</w:t>
      </w:r>
    </w:p>
    <w:p w14:paraId="46392D8C">
      <w:pPr>
        <w:ind w:firstLine="562" w:firstLineChars="200"/>
        <w:rPr>
          <w:rFonts w:hint="eastAsia" w:ascii="宋体" w:hAnsi="宋体" w:eastAsia="宋体" w:cs="宋体"/>
          <w:b/>
          <w:bCs/>
          <w:kern w:val="2"/>
          <w:sz w:val="28"/>
          <w:szCs w:val="28"/>
          <w:highlight w:val="white"/>
          <w:lang w:val="en-US" w:eastAsia="zh-CN" w:bidi="ar-SA"/>
        </w:rPr>
      </w:pPr>
      <w:r>
        <w:rPr>
          <w:rFonts w:hint="eastAsia" w:ascii="宋体" w:hAnsi="宋体" w:eastAsia="宋体" w:cs="宋体"/>
          <w:b/>
          <w:bCs/>
          <w:kern w:val="2"/>
          <w:sz w:val="28"/>
          <w:szCs w:val="28"/>
          <w:highlight w:val="white"/>
          <w:lang w:val="en-US" w:eastAsia="zh-CN" w:bidi="ar-SA"/>
        </w:rPr>
        <w:t>（二）专项管理情况分析</w:t>
      </w:r>
    </w:p>
    <w:p w14:paraId="5FE23AA7">
      <w:pPr>
        <w:ind w:firstLine="548" w:firstLineChars="196"/>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1、加强项目管理，实行项目库管理，对项目实施全程进行监督管理，尤其在项目实施关键环节中，组织项目管理相关部门对项目实施情况进行抽查督查。</w:t>
      </w:r>
    </w:p>
    <w:p w14:paraId="091A8C68">
      <w:pPr>
        <w:spacing w:line="580" w:lineRule="exact"/>
        <w:ind w:firstLine="602" w:firstLineChars="200"/>
        <w:rPr>
          <w:rFonts w:hint="eastAsia" w:ascii="宋体" w:hAnsi="宋体" w:eastAsia="宋体" w:cs="宋体"/>
          <w:b/>
          <w:bCs/>
          <w:kern w:val="2"/>
          <w:sz w:val="30"/>
          <w:szCs w:val="30"/>
          <w:highlight w:val="white"/>
          <w:lang w:val="en-US" w:eastAsia="zh-CN" w:bidi="ar-SA"/>
        </w:rPr>
      </w:pPr>
      <w:r>
        <w:rPr>
          <w:rFonts w:hint="eastAsia" w:ascii="宋体" w:hAnsi="宋体" w:eastAsia="宋体" w:cs="宋体"/>
          <w:b/>
          <w:bCs/>
          <w:kern w:val="2"/>
          <w:sz w:val="30"/>
          <w:szCs w:val="30"/>
          <w:highlight w:val="white"/>
          <w:lang w:val="en-US" w:eastAsia="zh-CN" w:bidi="ar-SA"/>
        </w:rPr>
        <w:t>四、资产管理情况</w:t>
      </w:r>
    </w:p>
    <w:p w14:paraId="7D816844">
      <w:pPr>
        <w:pStyle w:val="6"/>
        <w:tabs>
          <w:tab w:val="left" w:pos="668"/>
        </w:tabs>
        <w:spacing w:before="0" w:beforeAutospacing="0" w:after="0" w:afterAutospacing="0"/>
        <w:ind w:firstLine="560" w:firstLineChars="200"/>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为规范和加强固定资产管理，庙前镇建立健全了资产管理制度，依法对资产的购置、使用和处置等实施全过程管理。使用财政资金购置资产，按资产配置的标准和要求，实行政府采购，及时进行账务处理，并定期清理，做到账实相符。</w:t>
      </w:r>
    </w:p>
    <w:p w14:paraId="265A5F44">
      <w:pPr>
        <w:spacing w:line="580" w:lineRule="exact"/>
        <w:ind w:firstLine="602" w:firstLineChars="200"/>
        <w:rPr>
          <w:rFonts w:hint="eastAsia" w:ascii="宋体" w:hAnsi="宋体" w:eastAsia="宋体" w:cs="宋体"/>
          <w:b/>
          <w:bCs/>
          <w:kern w:val="2"/>
          <w:sz w:val="30"/>
          <w:szCs w:val="30"/>
          <w:highlight w:val="white"/>
          <w:lang w:val="en-US" w:eastAsia="zh-CN" w:bidi="ar-SA"/>
        </w:rPr>
      </w:pPr>
      <w:r>
        <w:rPr>
          <w:rFonts w:hint="eastAsia" w:ascii="宋体" w:hAnsi="宋体" w:eastAsia="宋体" w:cs="宋体"/>
          <w:b/>
          <w:bCs/>
          <w:kern w:val="2"/>
          <w:sz w:val="30"/>
          <w:szCs w:val="30"/>
          <w:highlight w:val="white"/>
          <w:lang w:val="en-US" w:eastAsia="zh-CN" w:bidi="ar-SA"/>
        </w:rPr>
        <w:t>五、部门整体支出绩效情况</w:t>
      </w:r>
    </w:p>
    <w:p w14:paraId="77B7C5EF">
      <w:pPr>
        <w:ind w:firstLine="560" w:firstLineChars="200"/>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在市委、市政府和镇党委的坚强领导下，常宁市庙前镇人民政府坚持以习近平新时代中国特色社会主义思想为指导，全面贯彻党的二十大精神和习近平总书记系列重要讲话精神，坚持稳中求进工作总基调，坚持“工业领航、绿色崛起、城乡协调、民生共享”，全面落实“三高四新”战略定位和使命任务，全力推动我镇经济社会高质量发展，自评得分97.6分。</w:t>
      </w:r>
    </w:p>
    <w:p w14:paraId="5D320BE1">
      <w:pPr>
        <w:ind w:firstLine="562" w:firstLineChars="200"/>
        <w:rPr>
          <w:rFonts w:hint="eastAsia" w:ascii="宋体" w:hAnsi="宋体" w:eastAsia="宋体" w:cs="宋体"/>
          <w:b/>
          <w:bCs/>
          <w:kern w:val="2"/>
          <w:sz w:val="28"/>
          <w:szCs w:val="28"/>
          <w:highlight w:val="white"/>
          <w:lang w:val="en-US" w:eastAsia="zh-CN" w:bidi="ar-SA"/>
        </w:rPr>
      </w:pPr>
      <w:r>
        <w:rPr>
          <w:rFonts w:hint="eastAsia" w:ascii="宋体" w:hAnsi="宋体" w:eastAsia="宋体" w:cs="宋体"/>
          <w:b/>
          <w:bCs/>
          <w:kern w:val="2"/>
          <w:sz w:val="28"/>
          <w:szCs w:val="28"/>
          <w:highlight w:val="white"/>
          <w:lang w:val="en-US" w:eastAsia="zh-CN" w:bidi="ar-SA"/>
        </w:rPr>
        <w:t>（一）强项目、优环境，推动经济发展高质高效</w:t>
      </w:r>
    </w:p>
    <w:p w14:paraId="252A3036">
      <w:pPr>
        <w:pStyle w:val="13"/>
        <w:numPr>
          <w:ilvl w:val="0"/>
          <w:numId w:val="0"/>
        </w:numPr>
        <w:spacing w:line="600" w:lineRule="exact"/>
        <w:ind w:firstLine="560" w:firstLineChars="200"/>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1.旅游产业加快发展。“吃住行游购娱”产业链加快形成，以国家级4A景区中国印山为依托，景区周边印山堂、大运农庄凤来仪、特色农家乐薯园等一批特色餐饮知名度迅速提升；开设孝廉讲堂，以国学讲课为载体，培养学生红色廉政文化；立足中国印山丰富的研学旅游资源，如：印山全书、祭孔广场、溶洞奇观、印章博物馆、印山花海、古民居等，多方融资8940万元，结合研学旅游和社会实践教育价值观念、研学课程设计、规范研学市场，搭建研学交流平台，打造中国印山研学实践教育基地，基地全年开放，每年累计开展活动200余次，年参观人数29.8万人，活动人次10万余人，推动常宁文旅经济高质量发展。</w:t>
      </w:r>
    </w:p>
    <w:p w14:paraId="669831AB">
      <w:pPr>
        <w:pStyle w:val="6"/>
        <w:shd w:val="clear" w:color="auto" w:fill="FFFFFF"/>
        <w:spacing w:before="0" w:beforeAutospacing="0" w:after="180" w:afterAutospacing="0" w:line="576" w:lineRule="atLeast"/>
        <w:ind w:firstLine="560" w:firstLineChars="200"/>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2.现代农业质效齐增。稳步发展好粮食、烤烟等传统产业，坚决遏制耕地“非粮化”“非农化”，确保耕地面积不减少，把饭碗牢牢端在自己手中。全镇耕地面积17000余亩，基本农田14400余亩。全镇水稻种植面积15000余亩，其中双季早稻3700余亩，再生稻2600余亩，中稻4300余亩，双季晚稻5100余亩。烤烟种植面积1696亩，烟叶收购4200余担。种植油菜3000亩。建立标准化温室育秧大棚1个,基本农田除铬超标严控区外，其余的全部种植水稻或旱粮作物，石铺村、长春村、中田村近400亩牛蛙养殖场有序退出，杜绝耕地“非粮化”、“非农化”，禁止耕地抛荒，全面稳定粮食生产。</w:t>
      </w:r>
    </w:p>
    <w:p w14:paraId="7451136F">
      <w:pPr>
        <w:ind w:firstLine="560" w:firstLineChars="200"/>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3.乡村产业项目保障有力。今年3月份，按照项目库建设要求，全镇新增申报项目19个，其中产业项目5个，公益岗位项目1个，基础设施项目13个。上级下拨2023年项目库衔接资金20万元，其中拨付春和村紫薯产业10万元，拨付金龙村天塘湖渔业养殖产业10万元，目前已全部完工拨付。今年10月份，新申报2024年项目19个，重新提交上年度未实施项目29个，目前在库项目共48个，全年落实乡村振兴有效衔接项目资金45万元，涉及项目5个。</w:t>
      </w:r>
    </w:p>
    <w:p w14:paraId="3515BAF8">
      <w:pPr>
        <w:ind w:firstLine="562" w:firstLineChars="200"/>
        <w:rPr>
          <w:rFonts w:hint="eastAsia" w:ascii="宋体" w:hAnsi="宋体" w:eastAsia="宋体" w:cs="宋体"/>
          <w:b/>
          <w:bCs/>
          <w:kern w:val="2"/>
          <w:sz w:val="28"/>
          <w:szCs w:val="28"/>
          <w:highlight w:val="white"/>
          <w:lang w:val="en-US" w:eastAsia="zh-CN" w:bidi="ar-SA"/>
        </w:rPr>
      </w:pPr>
      <w:r>
        <w:rPr>
          <w:rFonts w:hint="eastAsia" w:ascii="宋体" w:hAnsi="宋体" w:eastAsia="宋体" w:cs="宋体"/>
          <w:b/>
          <w:bCs/>
          <w:kern w:val="2"/>
          <w:sz w:val="28"/>
          <w:szCs w:val="28"/>
          <w:highlight w:val="white"/>
          <w:lang w:val="en-US" w:eastAsia="zh-CN" w:bidi="ar-SA"/>
        </w:rPr>
        <w:t>（二）重规划、提品质，推动国家卫生乡镇创建提质增效</w:t>
      </w:r>
    </w:p>
    <w:p w14:paraId="0FBEBA69">
      <w:pPr>
        <w:ind w:firstLine="560" w:firstLineChars="200"/>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1.开展人居环境大整治行动。根据制定的人居环境整治实施方案、考核办法、大评小奖实施方案、挂图作战、城乡治理标准化4项长效机制等制度，全镇集中开展整治行动45余次，基本消除了庙前高速路口至双凤路口、省道S222线沿路、市场、泉井路口至印山景区沿路“脏、乱、差、堵”的现象。各村组织开展对湾场、主干道、公共区域（河道沟渠、山土田园）、房前屋后为主的整治任务，全域进行推进，利用半年的整治时间，基本完成人居环境整治的主要工作，逐步实现了“村庄美、道路畅、店面洁、田园绿”的崭新画面。</w:t>
      </w:r>
    </w:p>
    <w:p w14:paraId="15476E12">
      <w:pPr>
        <w:ind w:firstLine="560" w:firstLineChars="200"/>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2.开展“大评小奖”评比活动。每季度评选出“秀美村庄”和“秀美庭院”，并向村民发放一定的物质奖励，评选结果定期公布在各村组的卫生宣传栏，引导群众积极参与卫生创建工作。通过“大评小奖”的评比活动，群众参与创卫的工作热情得到了极大的提高，群众文明的生活习惯基本养成，乡风文明和生态宜居进一步得到提升。</w:t>
      </w:r>
    </w:p>
    <w:p w14:paraId="6627BBBE">
      <w:pPr>
        <w:ind w:firstLine="560" w:firstLineChars="200"/>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3.扎实推进改水改厕工作。今年常宁市庙前镇人民政府对所有农户使用的厕所开展全面摸排整改工作，摸排问题厕所649个，整改问题厕所649个，2023年完成户厕新建106座，公厕新建2座，庙前镇中学、庙前镇中心小学、春和小学等3所学校完成了老旧公共厕所的二类标准的改建工作。弥泉村、春和村、双桥村建立了3三个小型污水处理池，完成了6个湾场的污水管网铺设工作，近600户农户纳入了集中式污水无害化处理。通过改水改厕，全镇基本消除了旱厕的使用，杜绝了粪污直排的问题，极大地改善了我镇的人居环境。</w:t>
      </w:r>
    </w:p>
    <w:p w14:paraId="35FD4848">
      <w:pPr>
        <w:numPr>
          <w:ilvl w:val="0"/>
          <w:numId w:val="2"/>
        </w:numPr>
        <w:ind w:firstLine="562" w:firstLineChars="200"/>
        <w:rPr>
          <w:rFonts w:hint="eastAsia" w:ascii="宋体" w:hAnsi="宋体" w:eastAsia="宋体" w:cs="宋体"/>
          <w:b/>
          <w:bCs/>
          <w:kern w:val="2"/>
          <w:sz w:val="28"/>
          <w:szCs w:val="28"/>
          <w:highlight w:val="white"/>
          <w:lang w:val="en-US" w:eastAsia="zh-CN" w:bidi="ar-SA"/>
        </w:rPr>
      </w:pPr>
      <w:r>
        <w:rPr>
          <w:rFonts w:hint="eastAsia" w:ascii="宋体" w:hAnsi="宋体" w:eastAsia="宋体" w:cs="宋体"/>
          <w:b/>
          <w:bCs/>
          <w:kern w:val="2"/>
          <w:sz w:val="28"/>
          <w:szCs w:val="28"/>
          <w:highlight w:val="white"/>
          <w:lang w:val="en-US" w:eastAsia="zh-CN" w:bidi="ar-SA"/>
        </w:rPr>
        <w:t>补短板、抓提升，推动乡村振兴稳步前进</w:t>
      </w:r>
    </w:p>
    <w:p w14:paraId="3724AD2E">
      <w:pPr>
        <w:ind w:firstLine="560" w:firstLineChars="200"/>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1.持续开展防返贫监测工作，全力巩固脱贫攻坚成果</w:t>
      </w:r>
    </w:p>
    <w:p w14:paraId="68D40782">
      <w:pPr>
        <w:spacing w:line="480" w:lineRule="auto"/>
        <w:ind w:firstLine="560" w:firstLineChars="200"/>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一是开展常态化防返贫监测集中排查工作。今年5月份，对全镇4350户18710人开展全覆盖集中排查工作，重点对六类关注人群进行“一户一画像”，通过排查纳入监测对象1户3人，消除风险3户10人。今年10月份开展第二轮防返贫监测集中排查工作。民政部门对全镇36户监测户的生活状况开展全面调查。每季度对监测户开展一次帮扶成效评估工作。二是开展脱贫攻坚成果信息年度动态管理工作。每月对脱贫户、监测户的家庭人员增减情况进行上报调整，进行信息更新和完善，并及时录入防返贫监测系统。三是时刻关注湖南省防返贫监测系统，及时处理每月风险预警的问题，全年核实处理收入、大病、就业、残补、养老金、教育、医保等风险预警及政策落实数据126条，督促部门政策落实56个，风险管控及跟踪问题23个。</w:t>
      </w:r>
    </w:p>
    <w:p w14:paraId="2B7CC443">
      <w:pPr>
        <w:spacing w:line="480" w:lineRule="auto"/>
        <w:ind w:firstLine="560" w:firstLineChars="200"/>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2.稳步推进乡村治理，扎实开展厕所革命工作</w:t>
      </w:r>
    </w:p>
    <w:p w14:paraId="40C0FA87">
      <w:pPr>
        <w:pStyle w:val="2"/>
        <w:ind w:firstLine="643"/>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一是申报“和美乡村”的示范创建工作。今年7月份，把金龙村作为全市首批“和美乡村”的示范创建进行了申报，经过市乡村振兴局的现场调研后，确定了金龙村为常宁市首批打造的“和美乡村”，初步规划了建设打造的蓝图后，并计划投入200万元进行“和美乡村”的规划建设，预计在2024年可全面完成。二是开展农村户厕的摸排整改工作。今年6月中旬，对全镇所有农村户籍进行全覆盖摸排，并建立农村户厕“一户一档”，重点对2013年以来各级财政改造的农村户厕进行问题摸排整改工作。通过排查，全镇目前存在旱厕249户，2017-2022年政府实施改厕1110户中，摸排问题厕所649个，绝大部分是厕所跟粪池管道未接通问题，通过建立问题厕所摸排整改台账，制定了整改工作方案，目前已全部销号整改到位。三是2023年户厕的新建工作。今年全镇新建户厕106座，涉及9个村（其中西湖村44个），全部实行三格式化粪池+人工湿地的建造标准，目前已经完成90%，预计在12月20日前可全部完工。</w:t>
      </w:r>
    </w:p>
    <w:p w14:paraId="7AD7A29D">
      <w:pPr>
        <w:pStyle w:val="2"/>
        <w:ind w:firstLine="643"/>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3.强化驻村帮扶工作力度，压实帮扶工作责任</w:t>
      </w:r>
    </w:p>
    <w:p w14:paraId="05EC780F">
      <w:pPr>
        <w:ind w:firstLine="560" w:firstLineChars="200"/>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目前常宁市庙前镇人民政府有3支驻村工作队，驻村队员共有8人，驻村（社区）第一书记11人。驻村工作紧紧围绕“八个推动”，扎实开展工作。一是推动强组织。督导驻村第一书记加强村“两委”班子建设，发展年轻党员；加强党支部“五化”建设，严格党的组织生活。二是推动固成果。督导驻村工作队积极协助村“两委”开展防返贫监测工作，每年至少开展2次集中走访排查并建立台账，对监测对象落实“一对一”结对帮扶措施；对脱贫户落实“四个一”的联系帮扶。同时建立对特困供养户、低保户、重残重病等低收入人口常态化帮扶机制。三是推动兴产业。加强驻点村的2023年的项目库建设，因地制宜，发展文旅研学、加工、种植、养殖等产业经济，科学布局各村产业发展区块链，促进一二三产业深度融合。</w:t>
      </w:r>
    </w:p>
    <w:p w14:paraId="5A35BBD2">
      <w:pPr>
        <w:ind w:firstLine="562" w:firstLineChars="200"/>
        <w:rPr>
          <w:rFonts w:hint="eastAsia" w:ascii="宋体" w:hAnsi="宋体" w:eastAsia="宋体" w:cs="宋体"/>
          <w:b/>
          <w:bCs/>
          <w:kern w:val="2"/>
          <w:sz w:val="28"/>
          <w:szCs w:val="28"/>
          <w:highlight w:val="white"/>
          <w:lang w:val="en-US" w:eastAsia="zh-CN" w:bidi="ar-SA"/>
        </w:rPr>
      </w:pPr>
      <w:r>
        <w:rPr>
          <w:rFonts w:hint="eastAsia" w:ascii="宋体" w:hAnsi="宋体" w:eastAsia="宋体" w:cs="宋体"/>
          <w:b/>
          <w:bCs/>
          <w:kern w:val="2"/>
          <w:sz w:val="28"/>
          <w:szCs w:val="28"/>
          <w:highlight w:val="white"/>
          <w:lang w:val="en-US" w:eastAsia="zh-CN" w:bidi="ar-SA"/>
        </w:rPr>
        <w:t>（四）转作风、提效能，推动政府自身建设更加过硬</w:t>
      </w:r>
    </w:p>
    <w:p w14:paraId="183D2741">
      <w:pPr>
        <w:widowControl/>
        <w:shd w:val="clear" w:color="auto" w:fill="FFFFFF"/>
        <w:spacing w:line="560" w:lineRule="exact"/>
        <w:ind w:firstLine="560" w:firstLineChars="200"/>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1.学习党的二十大精神，坚持把旗帜鲜明讲政治贯穿到政府工作各方面全过程。一是更高站位抓工作落实。持之以恒学懂弄通做实习近平新时代中国特色社会主义思想，不断增强“四个意识”，坚定“四个自信”，把坚决捍卫“两个确立”转化为做到“两个维护”的思想自觉、政治自觉、行动自觉，始终做到党委有部署、政府见行动、落实有成效。二是更严要求抓工作作风。深入推进法治政府建设，积极回应社会关切，主动接受市委市政府、纪委监委、社会舆论监督，始终让权力在阳光下运行。持续深化“两带头五整治”活动，提升政府服务能力，不断增强庙前群众获得感、幸福感、安全感。</w:t>
      </w:r>
    </w:p>
    <w:p w14:paraId="39AA073E">
      <w:pPr>
        <w:widowControl/>
        <w:shd w:val="clear" w:color="auto" w:fill="FFFFFF"/>
        <w:spacing w:line="560" w:lineRule="exact"/>
        <w:ind w:firstLine="560" w:firstLineChars="200"/>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2.优化党员干部结构。一是保障干部队伍的纯洁性。结合党员排查工作，对全镇719名党员、49名村干部、155名两代表一委员、24名党小组长进行全面深度审查，有效保障了党员干部队伍的纯洁性。二是强化党纪问责力度。近三年共约谈党员干部16名、通报批评党员干部28名。三是严把党员干部准入关。严格落实党员发展程序，党员结构更加年轻化、高素质化。2020年发展预备党员8名，入党积极分子49名；2021年发展预备党员12名，入党积极分子43名；2022年发展预备党员11名，入党积极分子46名。四是积极培养选拔优秀镇村干部。把选拔培养村级后备干部作为推动乡村振兴的重要工作来抓，全镇目前已储备18名村级后备干部。及时调整和落实村级干部基本报酬和绩效考核报酬。严格按照规定确立村、社区离退任干部固定补贴发放标准。</w:t>
      </w:r>
    </w:p>
    <w:p w14:paraId="5C064542">
      <w:pPr>
        <w:spacing w:line="580" w:lineRule="exact"/>
        <w:ind w:firstLine="602" w:firstLineChars="200"/>
        <w:rPr>
          <w:rFonts w:hint="eastAsia" w:ascii="宋体" w:hAnsi="宋体" w:eastAsia="宋体" w:cs="宋体"/>
          <w:b/>
          <w:bCs/>
          <w:kern w:val="2"/>
          <w:sz w:val="30"/>
          <w:szCs w:val="30"/>
          <w:highlight w:val="white"/>
          <w:lang w:val="en-US" w:eastAsia="zh-CN" w:bidi="ar-SA"/>
        </w:rPr>
      </w:pPr>
      <w:r>
        <w:rPr>
          <w:rFonts w:hint="eastAsia" w:ascii="宋体" w:hAnsi="宋体" w:eastAsia="宋体" w:cs="宋体"/>
          <w:b/>
          <w:bCs/>
          <w:kern w:val="2"/>
          <w:sz w:val="30"/>
          <w:szCs w:val="30"/>
          <w:highlight w:val="white"/>
          <w:lang w:val="en-US" w:eastAsia="zh-CN" w:bidi="ar-SA"/>
        </w:rPr>
        <w:t>六、存在的主要问题和原因</w:t>
      </w:r>
    </w:p>
    <w:p w14:paraId="4E736F14">
      <w:pPr>
        <w:widowControl/>
        <w:shd w:val="clear" w:color="auto" w:fill="FFFFFF"/>
        <w:spacing w:line="560" w:lineRule="exact"/>
        <w:ind w:firstLine="560" w:firstLineChars="200"/>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常宁市庙前镇人民政府经济社会高质量发展仍面临一些问题和挑战，主要有:</w:t>
      </w:r>
    </w:p>
    <w:p w14:paraId="3D5C56DA">
      <w:pPr>
        <w:widowControl/>
        <w:shd w:val="clear" w:color="auto" w:fill="FFFFFF"/>
        <w:spacing w:line="560" w:lineRule="exact"/>
        <w:ind w:firstLine="560" w:firstLineChars="200"/>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1.招商引资力度不够，现有产业转型升级步伐不快，发展动能不足，大项目好项目不多。一是对外宣传力度不够，虽然常宁市庙前镇人民政府有自己的资源优势和地理优势，但由于财力有限，仅仅是勉强维持运转，没有余力投入招商引资宣传，无自己的宣传网站和手册，对外宣传自己和信息来源的渠道都比较窄。二是仍然停留在“守株待兔式”招商。怕走出去，又请不进来，方式单一，大项目引不来，小项目又不符合一些相关要求，浪费了现有资源。</w:t>
      </w:r>
    </w:p>
    <w:p w14:paraId="2B87E361">
      <w:pPr>
        <w:ind w:firstLine="560" w:firstLineChars="200"/>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2.社会治理离群众期待还有差距。一是禁毒工作打击力度不够。随着网络技术和现代物流的发展，新型毒品违法犯罪活动更隐蔽、更加便捷，造成发现难、打击难等问题；吸毒人员管控工作难度仍然较大。吸毒人员中外出较多，尿检等管控措施不能及时到位。二是对行政许可法和其他事关农村群众切身利益的法律法规的宣传力度不大，执法力度达不到，许多群众对行政许可法等法律法规知之甚少，造成执法干部用法律法规依法行政时，部分群众不能配合。三是执法队伍机构体制还不完善，有些执法业务市、镇相同，配合机制不够完善，存在镇管不了，市管不到现状，执法人员无法把执法的效益最大限度的发挥出来。四是宣传教育措施、方式方法变化不大，法治宣传教育形式有待进一步创新，宣传教育深度和氛围不足。对禁毒、信访、执法等方面的法律法规宣传力度不大，执法力度达不到，执法过程中部分群众配合度不高。</w:t>
      </w:r>
    </w:p>
    <w:p w14:paraId="531B6A12">
      <w:pPr>
        <w:ind w:firstLine="560" w:firstLineChars="200"/>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3.村集体经济缺少产业支撑，农民持续增收难度较大。一是常宁市庙前镇人民政府的村集体经济收入主要依赖土地流转和生态公益林补贴，经济发展内生动力不足，缺乏自我造血功能。二是技术落后，缺乏现代化的管理和技术手段，无法达到高效盈利的要求，限制了其有效运营。</w:t>
      </w:r>
    </w:p>
    <w:p w14:paraId="0EAEA1CD">
      <w:pPr>
        <w:ind w:firstLine="560" w:firstLineChars="200"/>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4.公用经费和项目经费存在缺口。</w:t>
      </w:r>
    </w:p>
    <w:p w14:paraId="2C37E440">
      <w:pPr>
        <w:spacing w:line="580" w:lineRule="exact"/>
        <w:ind w:firstLine="602" w:firstLineChars="200"/>
        <w:rPr>
          <w:rFonts w:hint="eastAsia" w:ascii="宋体" w:hAnsi="宋体" w:eastAsia="宋体" w:cs="宋体"/>
          <w:b/>
          <w:bCs/>
          <w:kern w:val="2"/>
          <w:sz w:val="30"/>
          <w:szCs w:val="30"/>
          <w:highlight w:val="white"/>
          <w:lang w:val="en-US" w:eastAsia="zh-CN" w:bidi="ar-SA"/>
        </w:rPr>
      </w:pPr>
      <w:r>
        <w:rPr>
          <w:rFonts w:hint="eastAsia" w:ascii="宋体" w:hAnsi="宋体" w:eastAsia="宋体" w:cs="宋体"/>
          <w:b/>
          <w:bCs/>
          <w:kern w:val="2"/>
          <w:sz w:val="30"/>
          <w:szCs w:val="30"/>
          <w:highlight w:val="white"/>
          <w:lang w:val="en-US" w:eastAsia="zh-CN" w:bidi="ar-SA"/>
        </w:rPr>
        <w:t>七、改进措施和建议</w:t>
      </w:r>
    </w:p>
    <w:p w14:paraId="03CF532C">
      <w:pPr>
        <w:widowControl/>
        <w:shd w:val="clear" w:color="auto" w:fill="FFFFFF"/>
        <w:spacing w:line="560" w:lineRule="exact"/>
        <w:ind w:firstLine="560" w:firstLineChars="200"/>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1. 按照量入为出、收支平衡的原则编制预算，收入和支出纳入预算。从严控制“三公”经费，严格控制和压减一般性支出。扎实推进预决算公开，提高财政透明度。</w:t>
      </w:r>
    </w:p>
    <w:p w14:paraId="5085A474">
      <w:pPr>
        <w:widowControl/>
        <w:shd w:val="clear" w:color="auto" w:fill="FFFFFF"/>
        <w:spacing w:line="560" w:lineRule="exact"/>
        <w:ind w:firstLine="560" w:firstLineChars="200"/>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2. 进一步建立健全预算绩效管理工作制度，加强预算绩效管理，通过开展预算绩效管理工作培训、与财政和绩效管理先进单位交流学习等方式提高单位绩效管理工作能力和水平。</w:t>
      </w:r>
    </w:p>
    <w:p w14:paraId="3438D404">
      <w:pPr>
        <w:widowControl/>
        <w:shd w:val="clear" w:color="auto" w:fill="FFFFFF"/>
        <w:spacing w:line="560" w:lineRule="exact"/>
        <w:ind w:firstLine="560" w:firstLineChars="200"/>
        <w:rPr>
          <w:rFonts w:hint="eastAsia" w:ascii="宋体" w:hAnsi="宋体" w:eastAsia="宋体" w:cs="宋体"/>
          <w:kern w:val="2"/>
          <w:sz w:val="28"/>
          <w:szCs w:val="28"/>
          <w:highlight w:val="white"/>
          <w:lang w:val="en-US" w:eastAsia="zh-CN" w:bidi="ar-SA"/>
        </w:rPr>
      </w:pPr>
      <w:r>
        <w:rPr>
          <w:rFonts w:hint="eastAsia" w:ascii="宋体" w:hAnsi="宋体" w:eastAsia="宋体" w:cs="宋体"/>
          <w:kern w:val="2"/>
          <w:sz w:val="28"/>
          <w:szCs w:val="28"/>
          <w:highlight w:val="white"/>
          <w:lang w:val="en-US" w:eastAsia="zh-CN" w:bidi="ar-SA"/>
        </w:rPr>
        <w:t>3. 结合常宁市庙前镇人民政府工作实际特点，建立绩效指标库。</w:t>
      </w:r>
    </w:p>
    <w:p w14:paraId="30206CEB">
      <w:pPr>
        <w:ind w:firstLine="640" w:firstLineChars="200"/>
        <w:rPr>
          <w:rFonts w:hint="eastAsia" w:ascii="宋体" w:hAnsi="宋体" w:eastAsia="宋体" w:cs="宋体"/>
          <w:sz w:val="32"/>
          <w:highlight w:val="white"/>
        </w:rPr>
      </w:pPr>
    </w:p>
    <w:p w14:paraId="34925D04">
      <w:pPr>
        <w:ind w:firstLine="640" w:firstLineChars="200"/>
        <w:rPr>
          <w:rFonts w:ascii="仿宋" w:hAnsi="仿宋" w:eastAsia="仿宋"/>
          <w:sz w:val="32"/>
          <w:highlight w:val="white"/>
        </w:rPr>
      </w:pPr>
    </w:p>
    <w:p w14:paraId="68CD04E7">
      <w:pPr>
        <w:widowControl/>
        <w:spacing w:line="560" w:lineRule="atLeast"/>
        <w:jc w:val="right"/>
        <w:rPr>
          <w:rFonts w:hint="eastAsia" w:ascii="宋体" w:hAnsi="宋体" w:eastAsia="宋体" w:cs="宋体"/>
          <w:sz w:val="28"/>
          <w:szCs w:val="28"/>
        </w:rPr>
      </w:pPr>
      <w:r>
        <w:rPr>
          <w:rFonts w:hint="eastAsia" w:ascii="宋体" w:hAnsi="宋体" w:eastAsia="宋体" w:cs="宋体"/>
          <w:sz w:val="28"/>
          <w:szCs w:val="28"/>
        </w:rPr>
        <w:t>常宁市庙</w:t>
      </w:r>
      <w:r>
        <w:rPr>
          <w:rFonts w:hint="eastAsia" w:ascii="宋体" w:hAnsi="宋体" w:eastAsia="宋体" w:cs="宋体"/>
          <w:kern w:val="2"/>
          <w:sz w:val="28"/>
          <w:szCs w:val="28"/>
          <w:highlight w:val="white"/>
          <w:lang w:val="en-US" w:eastAsia="zh-CN" w:bidi="ar-SA"/>
        </w:rPr>
        <w:t>前镇人民</w:t>
      </w:r>
      <w:r>
        <w:rPr>
          <w:rFonts w:hint="eastAsia" w:ascii="宋体" w:hAnsi="宋体" w:eastAsia="宋体" w:cs="宋体"/>
          <w:sz w:val="28"/>
          <w:szCs w:val="28"/>
        </w:rPr>
        <w:t>政府</w:t>
      </w:r>
    </w:p>
    <w:p w14:paraId="159751C5">
      <w:pPr>
        <w:widowControl/>
        <w:spacing w:line="560" w:lineRule="atLeast"/>
        <w:jc w:val="right"/>
        <w:rPr>
          <w:rFonts w:ascii="宋体" w:hAnsi="宋体" w:cs="宋体"/>
          <w:sz w:val="28"/>
          <w:szCs w:val="28"/>
        </w:rPr>
      </w:pPr>
      <w:r>
        <w:rPr>
          <w:rFonts w:hint="eastAsia" w:ascii="宋体" w:hAnsi="宋体" w:eastAsia="宋体" w:cs="宋体"/>
          <w:sz w:val="28"/>
          <w:szCs w:val="28"/>
        </w:rPr>
        <w:t xml:space="preserve">                                    2024年3月29日</w:t>
      </w:r>
    </w:p>
    <w:p w14:paraId="44C8FBA5">
      <w:pPr>
        <w:widowControl/>
        <w:spacing w:line="360" w:lineRule="auto"/>
        <w:rPr>
          <w:rFonts w:hint="default" w:ascii="仿宋" w:hAnsi="仿宋" w:eastAsia="仿宋" w:cs="仿宋"/>
          <w:b/>
          <w:bCs/>
          <w:sz w:val="32"/>
          <w:szCs w:val="32"/>
          <w:lang w:val="en-US" w:eastAsia="zh-CN"/>
        </w:rPr>
      </w:pPr>
    </w:p>
    <w:p w14:paraId="32112CC7">
      <w:pPr>
        <w:ind w:firstLine="640" w:firstLineChars="200"/>
        <w:rPr>
          <w:rFonts w:ascii="仿宋" w:hAnsi="仿宋" w:eastAsia="仿宋"/>
          <w:sz w:val="32"/>
          <w:highlight w:val="white"/>
        </w:rPr>
      </w:pPr>
    </w:p>
    <w:p w14:paraId="1E9F1199">
      <w:pPr>
        <w:widowControl/>
        <w:spacing w:line="360" w:lineRule="auto"/>
        <w:rPr>
          <w:rFonts w:ascii="仿宋" w:hAnsi="仿宋" w:eastAsia="仿宋" w:cs="仿宋"/>
          <w:b/>
          <w:bCs/>
          <w:sz w:val="32"/>
          <w:szCs w:val="32"/>
        </w:rPr>
      </w:pPr>
    </w:p>
    <w:p w14:paraId="0A503352">
      <w:pPr>
        <w:widowControl/>
        <w:spacing w:line="360" w:lineRule="auto"/>
        <w:rPr>
          <w:rFonts w:hint="eastAsia" w:ascii="宋体" w:hAnsi="宋体" w:eastAsia="宋体" w:cs="宋体"/>
          <w:kern w:val="2"/>
          <w:sz w:val="28"/>
          <w:szCs w:val="28"/>
          <w:highlight w:val="white"/>
          <w:lang w:val="en-US" w:eastAsia="zh-CN" w:bidi="ar-SA"/>
        </w:rPr>
      </w:pPr>
    </w:p>
    <w:p w14:paraId="017F1C62">
      <w:pPr>
        <w:widowControl/>
        <w:spacing w:line="360" w:lineRule="auto"/>
        <w:rPr>
          <w:rFonts w:ascii="仿宋" w:hAnsi="仿宋" w:eastAsia="仿宋" w:cs="仿宋"/>
          <w:b/>
          <w:bCs/>
          <w:sz w:val="32"/>
          <w:szCs w:val="32"/>
        </w:rPr>
      </w:pPr>
      <w:r>
        <w:rPr>
          <w:rFonts w:hint="eastAsia" w:ascii="宋体" w:hAnsi="宋体" w:eastAsia="宋体" w:cs="宋体"/>
          <w:kern w:val="2"/>
          <w:sz w:val="28"/>
          <w:szCs w:val="28"/>
          <w:highlight w:val="white"/>
          <w:lang w:val="en-US" w:eastAsia="zh-CN" w:bidi="ar-SA"/>
        </w:rPr>
        <w:t xml:space="preserve">                              </w:t>
      </w:r>
    </w:p>
    <w:p w14:paraId="4B5F84E8">
      <w:pPr>
        <w:widowControl/>
        <w:shd w:val="clear" w:color="auto" w:fill="FFFFFF"/>
        <w:ind w:firstLine="640" w:firstLineChars="200"/>
        <w:jc w:val="left"/>
        <w:rPr>
          <w:rFonts w:ascii="仿宋_GB2312" w:hAnsi="仿宋_GB2312" w:eastAsia="仿宋_GB2312" w:cs="仿宋_GB2312"/>
          <w:kern w:val="0"/>
          <w:sz w:val="32"/>
          <w:szCs w:val="32"/>
        </w:rPr>
      </w:pPr>
    </w:p>
    <w:p w14:paraId="64D7BF4A">
      <w:pPr>
        <w:spacing w:line="560" w:lineRule="exact"/>
        <w:ind w:firstLine="640" w:firstLineChars="200"/>
        <w:rPr>
          <w:rFonts w:ascii="仿宋_GB2312" w:hAnsi="仿宋_GB2312" w:eastAsia="仿宋_GB2312" w:cs="仿宋_GB2312"/>
          <w:kern w:val="0"/>
          <w:sz w:val="32"/>
          <w:szCs w:val="32"/>
        </w:rPr>
      </w:pPr>
    </w:p>
    <w:p w14:paraId="43604F2E">
      <w:pPr>
        <w:spacing w:line="560" w:lineRule="exact"/>
        <w:ind w:firstLine="640" w:firstLineChars="200"/>
        <w:rPr>
          <w:rFonts w:ascii="仿宋_GB2312" w:hAnsi="仿宋_GB2312" w:eastAsia="仿宋_GB2312" w:cs="仿宋_GB2312"/>
          <w:kern w:val="0"/>
          <w:sz w:val="32"/>
          <w:szCs w:val="32"/>
        </w:rPr>
      </w:pPr>
    </w:p>
    <w:p w14:paraId="0FA18941">
      <w:pPr>
        <w:spacing w:line="580" w:lineRule="exact"/>
        <w:ind w:firstLine="640" w:firstLineChars="200"/>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19A9C">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4457E1">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E4457E1">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1C432C"/>
    <w:multiLevelType w:val="singleLevel"/>
    <w:tmpl w:val="B21C432C"/>
    <w:lvl w:ilvl="0" w:tentative="0">
      <w:start w:val="3"/>
      <w:numFmt w:val="chineseCounting"/>
      <w:suff w:val="nothing"/>
      <w:lvlText w:val="（%1）"/>
      <w:lvlJc w:val="left"/>
      <w:rPr>
        <w:rFonts w:hint="eastAsia"/>
      </w:rPr>
    </w:lvl>
  </w:abstractNum>
  <w:abstractNum w:abstractNumId="1">
    <w:nsid w:val="D9DBB648"/>
    <w:multiLevelType w:val="multilevel"/>
    <w:tmpl w:val="D9DBB648"/>
    <w:lvl w:ilvl="0" w:tentative="0">
      <w:start w:val="1"/>
      <w:numFmt w:val="decimal"/>
      <w:pStyle w:val="13"/>
      <w:suff w:val="nothing"/>
      <w:lvlText w:val="%1．"/>
      <w:lvlJc w:val="left"/>
      <w:pPr>
        <w:tabs>
          <w:tab w:val="left" w:pos="420"/>
        </w:tabs>
        <w:ind w:left="0" w:firstLine="0"/>
      </w:p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NTE4NzIzZjc1ODU0MDFhMzRlZGU3MDU3MTM3ZWEifQ=="/>
    <w:docVar w:name="KSO_WPS_MARK_KEY" w:val="643bb5de-d0c1-4954-a205-0660f7443e06"/>
  </w:docVars>
  <w:rsids>
    <w:rsidRoot w:val="57C01203"/>
    <w:rsid w:val="00053FE7"/>
    <w:rsid w:val="000C4D14"/>
    <w:rsid w:val="00195CB7"/>
    <w:rsid w:val="002070AE"/>
    <w:rsid w:val="00285E0D"/>
    <w:rsid w:val="003212C0"/>
    <w:rsid w:val="00413502"/>
    <w:rsid w:val="0043728A"/>
    <w:rsid w:val="00445D7D"/>
    <w:rsid w:val="00557B1A"/>
    <w:rsid w:val="0060142E"/>
    <w:rsid w:val="00641950"/>
    <w:rsid w:val="007D26F2"/>
    <w:rsid w:val="007E5F01"/>
    <w:rsid w:val="00851E2F"/>
    <w:rsid w:val="008B70B0"/>
    <w:rsid w:val="00982F7A"/>
    <w:rsid w:val="009C2EC6"/>
    <w:rsid w:val="00A41DC9"/>
    <w:rsid w:val="00A9281F"/>
    <w:rsid w:val="00B30EF9"/>
    <w:rsid w:val="00CF1A4B"/>
    <w:rsid w:val="00CF3C9D"/>
    <w:rsid w:val="00D422F7"/>
    <w:rsid w:val="00DB1DC7"/>
    <w:rsid w:val="00E012BB"/>
    <w:rsid w:val="00E507C6"/>
    <w:rsid w:val="00F2259B"/>
    <w:rsid w:val="00FE170B"/>
    <w:rsid w:val="02861297"/>
    <w:rsid w:val="06377CD2"/>
    <w:rsid w:val="0BAC755D"/>
    <w:rsid w:val="0CA041F5"/>
    <w:rsid w:val="0D215336"/>
    <w:rsid w:val="0E0B38F0"/>
    <w:rsid w:val="0E833DCE"/>
    <w:rsid w:val="113D5AF5"/>
    <w:rsid w:val="11CA5F72"/>
    <w:rsid w:val="11F602A0"/>
    <w:rsid w:val="15133F8D"/>
    <w:rsid w:val="15FD4466"/>
    <w:rsid w:val="17A6337B"/>
    <w:rsid w:val="190C57B6"/>
    <w:rsid w:val="19946E8F"/>
    <w:rsid w:val="1B8B2ACD"/>
    <w:rsid w:val="1C0F4EF3"/>
    <w:rsid w:val="1D0B43B2"/>
    <w:rsid w:val="1E7447BE"/>
    <w:rsid w:val="1EF81C6E"/>
    <w:rsid w:val="20622978"/>
    <w:rsid w:val="207672EF"/>
    <w:rsid w:val="21A961FB"/>
    <w:rsid w:val="222F444B"/>
    <w:rsid w:val="22356A9C"/>
    <w:rsid w:val="24255BE8"/>
    <w:rsid w:val="24AD52A9"/>
    <w:rsid w:val="255D1949"/>
    <w:rsid w:val="2A9A0CD9"/>
    <w:rsid w:val="2C646B95"/>
    <w:rsid w:val="312A3404"/>
    <w:rsid w:val="319173AA"/>
    <w:rsid w:val="31AF08B2"/>
    <w:rsid w:val="32613924"/>
    <w:rsid w:val="33FF2461"/>
    <w:rsid w:val="34E76663"/>
    <w:rsid w:val="37BF2745"/>
    <w:rsid w:val="38E92CF6"/>
    <w:rsid w:val="39A01163"/>
    <w:rsid w:val="3C1E3C1A"/>
    <w:rsid w:val="3CF150FB"/>
    <w:rsid w:val="3E8B2BA8"/>
    <w:rsid w:val="3EF115E1"/>
    <w:rsid w:val="41D60173"/>
    <w:rsid w:val="43047427"/>
    <w:rsid w:val="43940D01"/>
    <w:rsid w:val="439755FA"/>
    <w:rsid w:val="44810396"/>
    <w:rsid w:val="45886FF9"/>
    <w:rsid w:val="476A73B1"/>
    <w:rsid w:val="48EF3221"/>
    <w:rsid w:val="4C0F30D2"/>
    <w:rsid w:val="4E1A4EAE"/>
    <w:rsid w:val="4E224D85"/>
    <w:rsid w:val="4E855305"/>
    <w:rsid w:val="4EFD69EB"/>
    <w:rsid w:val="572D0056"/>
    <w:rsid w:val="57996ADE"/>
    <w:rsid w:val="57C01203"/>
    <w:rsid w:val="57D80F86"/>
    <w:rsid w:val="5B7628FD"/>
    <w:rsid w:val="5C866AAB"/>
    <w:rsid w:val="5CCC0120"/>
    <w:rsid w:val="5DC47E2D"/>
    <w:rsid w:val="5F5626CB"/>
    <w:rsid w:val="5F943C5A"/>
    <w:rsid w:val="62436329"/>
    <w:rsid w:val="64F721CE"/>
    <w:rsid w:val="668138C4"/>
    <w:rsid w:val="66D20250"/>
    <w:rsid w:val="674A126B"/>
    <w:rsid w:val="692C04BA"/>
    <w:rsid w:val="69E62DCE"/>
    <w:rsid w:val="6CDF30F3"/>
    <w:rsid w:val="6F9D3D7A"/>
    <w:rsid w:val="71FB2726"/>
    <w:rsid w:val="725107C2"/>
    <w:rsid w:val="733817AF"/>
    <w:rsid w:val="742E75E3"/>
    <w:rsid w:val="75AD6153"/>
    <w:rsid w:val="78C14D44"/>
    <w:rsid w:val="798B6ADC"/>
    <w:rsid w:val="79B31B8F"/>
    <w:rsid w:val="7C020D48"/>
    <w:rsid w:val="7CDC13FD"/>
    <w:rsid w:val="7E837D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7">
    <w:name w:val="Body Text First Indent 2"/>
    <w:basedOn w:val="3"/>
    <w:qFormat/>
    <w:uiPriority w:val="0"/>
    <w:pPr>
      <w:autoSpaceDE w:val="0"/>
      <w:autoSpaceDN w:val="0"/>
      <w:adjustRightInd w:val="0"/>
      <w:ind w:firstLine="420"/>
      <w:jc w:val="left"/>
    </w:pPr>
    <w:rPr>
      <w:rFonts w:ascii="Calibri" w:hAnsi="Calibri"/>
      <w:kern w:val="0"/>
    </w:rPr>
  </w:style>
  <w:style w:type="character" w:styleId="10">
    <w:name w:val="Strong"/>
    <w:basedOn w:val="9"/>
    <w:qFormat/>
    <w:uiPriority w:val="0"/>
    <w:rPr>
      <w:b/>
    </w:rPr>
  </w:style>
  <w:style w:type="paragraph" w:customStyle="1" w:styleId="11">
    <w:name w:val="标4"/>
    <w:basedOn w:val="1"/>
    <w:qFormat/>
    <w:uiPriority w:val="99"/>
    <w:pPr>
      <w:adjustRightInd w:val="0"/>
      <w:spacing w:before="240" w:after="360" w:line="240" w:lineRule="exact"/>
      <w:outlineLvl w:val="3"/>
    </w:pPr>
    <w:rPr>
      <w:rFonts w:ascii="Arial" w:hAnsi="Arial" w:cs="Arial"/>
      <w:b/>
      <w:bCs/>
      <w:kern w:val="24"/>
    </w:rPr>
  </w:style>
  <w:style w:type="paragraph" w:customStyle="1" w:styleId="12">
    <w:name w:val="列出段落1"/>
    <w:basedOn w:val="1"/>
    <w:qFormat/>
    <w:uiPriority w:val="34"/>
    <w:pPr>
      <w:ind w:firstLine="420" w:firstLineChars="200"/>
    </w:pPr>
  </w:style>
  <w:style w:type="paragraph" w:customStyle="1" w:styleId="13">
    <w:name w:val="公文:3级标题"/>
    <w:qFormat/>
    <w:uiPriority w:val="0"/>
    <w:pPr>
      <w:numPr>
        <w:ilvl w:val="0"/>
        <w:numId w:val="1"/>
      </w:numPr>
      <w:outlineLvl w:val="2"/>
    </w:pPr>
    <w:rPr>
      <w:rFonts w:eastAsia="仿宋" w:asciiTheme="minorHAnsi" w:hAnsiTheme="minorHAnsi" w:cstheme="minorBidi"/>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5747</Words>
  <Characters>6054</Characters>
  <Lines>3</Lines>
  <Paragraphs>12</Paragraphs>
  <TotalTime>1</TotalTime>
  <ScaleCrop>false</ScaleCrop>
  <LinksUpToDate>false</LinksUpToDate>
  <CharactersWithSpaces>6123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2024-04-19T01:44:00Z</dcterms:created>
  <dc:creator>人中之雄</dc:creator>
  <cp:lastModifiedBy>Administrator</cp:lastModifiedBy>
  <dcterms:modified xsi:type="dcterms:W3CDTF">2024-08-28T05:53:07Z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07CBB256325C47B2B5FBF31CE0EE361B_13</vt:lpwstr>
  </property>
</Properties>
</file>