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C92A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44"/>
          <w:szCs w:val="44"/>
        </w:rPr>
        <w:t>部门整体支出绩效自评报告</w:t>
      </w:r>
    </w:p>
    <w:p w14:paraId="7E07895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为加强财政预算资金管理，进一步规范预算资金使用，提高财政资金使用效益，我委积极组织，对202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年度本单位整体支出进行了绩效自评，现将具体绩效评价情况报告如下：</w:t>
      </w:r>
    </w:p>
    <w:p w14:paraId="0B391D34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一、部门基本情况</w:t>
      </w:r>
    </w:p>
    <w:p w14:paraId="53603233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1.部门职责</w:t>
      </w:r>
    </w:p>
    <w:p w14:paraId="2FEC791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、根据党的路线、方针、政策和市委的部署，统一全市政法部门的思想和行动。对一定时期内的政法工作作出全局性部署，并督促贯彻落实。</w:t>
      </w:r>
    </w:p>
    <w:p w14:paraId="4FCB70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、组织、协调、指导维护社会稳定工作，必要时直接参与影响的重大群体性事件的处置。</w:t>
      </w:r>
    </w:p>
    <w:p w14:paraId="028B52D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、检查政法部门执行法律法规和党的方针政策的情况，结合实际研究制订严肃执法，落实党的方针政策的具体措施。</w:t>
      </w:r>
    </w:p>
    <w:p w14:paraId="62482E7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、支持和监督政法各部门依法行使职权，指导和协调政法各部门在依法相互制约的同时密切配合，督促推动大案要案的查处工作，研究、协调有争议的重大、疑难案件。</w:t>
      </w:r>
    </w:p>
    <w:p w14:paraId="2E4F2BD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、组织、协调社会治安综合治理工作，推动社会治安综合治理各项措施的落实。</w:t>
      </w:r>
    </w:p>
    <w:p w14:paraId="5CB42F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、组织、推动政法战线的调查研究工作，改革和加强政法工作。</w:t>
      </w:r>
    </w:p>
    <w:p w14:paraId="4C823CC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/>
        <w:textAlignment w:val="auto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、协助党委及其部门管理好政法部门的领导班子和政法干部队伍。</w:t>
      </w:r>
    </w:p>
    <w:p w14:paraId="53E1D6AB">
      <w:pPr>
        <w:spacing w:line="560" w:lineRule="exact"/>
        <w:ind w:left="559" w:leftChars="266" w:firstLine="0" w:firstLineChars="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、组织查处政法系统干部、干警中有重大影响的违法乱纪案件。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二、部门整体支出管理及使用情况</w:t>
      </w:r>
    </w:p>
    <w:p w14:paraId="27A8BDDA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1.部门预算收支情况（含公共财政拨款、政府性基金拨款、纳入专户管理的非税收入拨款及其他资金）及部门决算情况。</w:t>
      </w:r>
    </w:p>
    <w:p w14:paraId="0D508A39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部门决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算数为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996.8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万元，其中：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一般公共服务支出884.68万元；公共安全支出56.1万元；社会保障和就业支出33.73万元；卫生健康支出14.89万元；其他支出7.39万元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。</w:t>
      </w:r>
    </w:p>
    <w:p w14:paraId="7A8D6F7A">
      <w:pPr>
        <w:spacing w:line="560" w:lineRule="exact"/>
        <w:ind w:firstLine="624" w:firstLineChars="200"/>
        <w:rPr>
          <w:rFonts w:hint="eastAsia"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年度总支出为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val="en-US" w:eastAsia="zh-CN"/>
        </w:rPr>
        <w:t>996.8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万元，其中：基本支出为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val="en-US" w:eastAsia="zh-CN"/>
        </w:rPr>
        <w:t>435.99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万元，项目支出为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val="en-US" w:eastAsia="zh-CN"/>
        </w:rPr>
        <w:t>560.81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万元。</w:t>
      </w:r>
    </w:p>
    <w:p w14:paraId="057F61AF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年度无基金收支。</w:t>
      </w:r>
    </w:p>
    <w:p w14:paraId="0F69C634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2.支出分类情况</w:t>
      </w:r>
    </w:p>
    <w:p w14:paraId="57BB2B4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（1）基本支出管理情况</w:t>
      </w:r>
    </w:p>
    <w:p w14:paraId="5273059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年我委基本支出范围和主要用途包括：人员经费和日常公用经费。具体包括：工资福利支出、商品和服务支出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对个人和家庭的补助支出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资本性支出。</w:t>
      </w:r>
    </w:p>
    <w:p w14:paraId="053514A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基本支出的管理和使用情况如下：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本年度基本支出为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val="en-US" w:eastAsia="zh-CN"/>
        </w:rPr>
        <w:t>435.99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万元，其中：</w:t>
      </w:r>
      <w:r>
        <w:rPr>
          <w:rFonts w:hint="eastAsia" w:ascii="仿宋_GB2312" w:eastAsia="仿宋_GB2312"/>
          <w:sz w:val="32"/>
          <w:szCs w:val="32"/>
        </w:rPr>
        <w:t>工资福利支出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359.49</w:t>
      </w:r>
      <w:r>
        <w:rPr>
          <w:rFonts w:hint="eastAsia" w:ascii="仿宋_GB2312" w:eastAsia="仿宋_GB2312"/>
          <w:sz w:val="32"/>
          <w:szCs w:val="32"/>
        </w:rPr>
        <w:t>万元；商品和服务支出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76.5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1A8E475B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专项资金使用情况</w:t>
      </w:r>
    </w:p>
    <w:p w14:paraId="643E2BA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年我委专项项目资金为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val="en-US" w:eastAsia="zh-CN"/>
        </w:rPr>
        <w:t>560.81</w:t>
      </w:r>
      <w:r>
        <w:rPr>
          <w:rFonts w:hint="eastAsia" w:ascii="仿宋_GB2312" w:eastAsia="仿宋_GB2312"/>
          <w:sz w:val="32"/>
          <w:szCs w:val="32"/>
        </w:rPr>
        <w:t>万元。系保障我委国安办、综治办及扫黑除恶、反邪教防控、维稳处突、民调、平安创建</w:t>
      </w:r>
      <w:r>
        <w:rPr>
          <w:rFonts w:hint="eastAsia" w:ascii="仿宋_GB2312" w:eastAsia="仿宋_GB2312"/>
          <w:sz w:val="32"/>
          <w:szCs w:val="32"/>
          <w:lang w:eastAsia="zh-CN"/>
        </w:rPr>
        <w:t>、社会治理、网格化服务管理</w:t>
      </w:r>
      <w:r>
        <w:rPr>
          <w:rFonts w:hint="eastAsia" w:ascii="仿宋_GB2312" w:eastAsia="仿宋_GB2312"/>
          <w:sz w:val="32"/>
          <w:szCs w:val="32"/>
        </w:rPr>
        <w:t>等工作的支出。</w:t>
      </w:r>
    </w:p>
    <w:p w14:paraId="57009DE0">
      <w:pPr>
        <w:spacing w:line="560" w:lineRule="exact"/>
        <w:ind w:firstLine="640" w:firstLineChars="200"/>
        <w:rPr>
          <w:rFonts w:hint="default" w:ascii="仿宋" w:hAnsi="仿宋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项目支出的使用情况如下：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本年度总支出为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val="en-US" w:eastAsia="zh-CN"/>
        </w:rPr>
        <w:t>560.81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万元，其中：</w:t>
      </w:r>
      <w:r>
        <w:rPr>
          <w:rFonts w:hint="eastAsia" w:ascii="仿宋_GB2312" w:hAnsi="宋体" w:eastAsia="仿宋_GB2312" w:cs="宋体"/>
          <w:spacing w:val="-4"/>
          <w:sz w:val="32"/>
          <w:szCs w:val="32"/>
          <w:lang w:eastAsia="zh-CN"/>
        </w:rPr>
        <w:t>一般</w:t>
      </w:r>
      <w:r>
        <w:rPr>
          <w:rFonts w:hint="eastAsia" w:ascii="仿宋_GB2312" w:eastAsia="仿宋_GB2312"/>
          <w:sz w:val="32"/>
          <w:szCs w:val="32"/>
        </w:rPr>
        <w:t>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560.81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，占项目支出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CFDFBAB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3.“三公”经费情况</w:t>
      </w:r>
    </w:p>
    <w:p w14:paraId="731A720E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我委“三公”经费各费用均控制在预算范围内，且较预算金额有不同程度的结余（其中：因公出国出境费用</w:t>
      </w:r>
      <w:r>
        <w:rPr>
          <w:rFonts w:hint="eastAsia" w:ascii="仿宋_GB2312" w:eastAsia="仿宋_GB2312"/>
          <w:sz w:val="32"/>
          <w:szCs w:val="32"/>
          <w:lang w:eastAsia="zh-CN"/>
        </w:rPr>
        <w:t>和公务用车购置及运行维护费</w:t>
      </w:r>
      <w:r>
        <w:rPr>
          <w:rFonts w:hint="eastAsia" w:ascii="仿宋_GB2312" w:eastAsia="仿宋_GB2312"/>
          <w:sz w:val="32"/>
          <w:szCs w:val="32"/>
        </w:rPr>
        <w:t>本年未发生经费支出）。本年“三公”经费各明细项目</w:t>
      </w:r>
      <w:r>
        <w:rPr>
          <w:rFonts w:hint="eastAsia" w:ascii="仿宋_GB2312" w:eastAsia="仿宋_GB2312"/>
          <w:sz w:val="32"/>
          <w:szCs w:val="32"/>
          <w:lang w:eastAsia="zh-CN"/>
        </w:rPr>
        <w:t>均低于</w:t>
      </w:r>
      <w:r>
        <w:rPr>
          <w:rFonts w:hint="eastAsia" w:ascii="仿宋_GB2312" w:eastAsia="仿宋_GB2312"/>
          <w:sz w:val="32"/>
          <w:szCs w:val="32"/>
        </w:rPr>
        <w:t>上年</w:t>
      </w:r>
      <w:r>
        <w:rPr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1F34EE5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三、部门整体支出绩效评价情况</w:t>
      </w:r>
    </w:p>
    <w:p w14:paraId="5288EE08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年，根据我委年初工作规划和重点性工作，围绕中心工作，积极履职，强化管理，较好的完成了年度工作目标。通过加强预算收支的管理，不断建立健全内部管理制度，理顺内部管理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固定资产管理</w:t>
      </w:r>
      <w:r>
        <w:rPr>
          <w:rFonts w:hint="eastAsia" w:ascii="仿宋_GB2312" w:eastAsia="仿宋_GB2312"/>
          <w:sz w:val="32"/>
          <w:szCs w:val="32"/>
        </w:rPr>
        <w:t>流程，部门整体支出管理情况得到了提升。</w:t>
      </w:r>
    </w:p>
    <w:p w14:paraId="0A5DF6AB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四、存在的主要问题</w:t>
      </w:r>
    </w:p>
    <w:p w14:paraId="33AD49EA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初预算的编制较为精细，按照费用支出的使用范围和内容，进行了基本支出、项目支出的严格区分，并按照预算的最末级明细进行预算支出管理，专款专用。但对于追加的项目支出、上年结余结转的项目资金，没有进行预算分解，编制明细预算。</w:t>
      </w:r>
    </w:p>
    <w:p w14:paraId="2F1DFAF3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五、改进措施及建议</w:t>
      </w:r>
    </w:p>
    <w:p w14:paraId="4690A19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一步加强内部机构的预算管理意识，严格按照预算编制的相关制度和要求，进一步提高预算编制的科学性、合理性、严谨性和可控性，在日常预算管理过程中，进一步加强预算支出的审核、跟踪及预算执行情况分析。</w:t>
      </w:r>
    </w:p>
    <w:p w14:paraId="727B959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23FC7F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DE0ED26">
      <w:pPr>
        <w:wordWrap w:val="0"/>
        <w:spacing w:line="560" w:lineRule="exact"/>
        <w:ind w:right="480"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中共常宁市委政法委员会</w:t>
      </w:r>
    </w:p>
    <w:p w14:paraId="4B1256B8">
      <w:pPr>
        <w:spacing w:line="560" w:lineRule="exact"/>
        <w:ind w:right="480" w:firstLine="640" w:firstLineChars="200"/>
        <w:jc w:val="righ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 w14:paraId="79AF6DF3"/>
    <w:sectPr>
      <w:footerReference r:id="rId3" w:type="default"/>
      <w:pgSz w:w="11906" w:h="16838"/>
      <w:pgMar w:top="1440" w:right="1797" w:bottom="1440" w:left="179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10615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472944207"/>
                          </w:sdtPr>
                          <w:sdtContent>
                            <w:p w14:paraId="72178396"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408B0DE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2944207"/>
                    </w:sdtPr>
                    <w:sdtContent>
                      <w:p w14:paraId="72178396"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408B0DE"/>
                </w:txbxContent>
              </v:textbox>
            </v:shape>
          </w:pict>
        </mc:Fallback>
      </mc:AlternateContent>
    </w:r>
  </w:p>
  <w:p w14:paraId="7EEB929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OWY4YzliYzEzNTgzNzllNzk1MmVjNWViYTBjNDAifQ=="/>
  </w:docVars>
  <w:rsids>
    <w:rsidRoot w:val="00000000"/>
    <w:rsid w:val="22633BE9"/>
    <w:rsid w:val="345E3C7B"/>
    <w:rsid w:val="4C2F1B17"/>
    <w:rsid w:val="58006EC2"/>
    <w:rsid w:val="5E0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1357</Words>
  <Characters>1454</Characters>
  <Lines>0</Lines>
  <Paragraphs>0</Paragraphs>
  <TotalTime>2</TotalTime>
  <ScaleCrop>false</ScaleCrop>
  <LinksUpToDate>false</LinksUpToDate>
  <CharactersWithSpaces>1454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2024-04-28T01:08:00Z</dcterms:created>
  <dc:creator>Administrator</dc:creator>
  <cp:lastModifiedBy>李冬秀</cp:lastModifiedBy>
  <dcterms:modified xsi:type="dcterms:W3CDTF">2024-08-23T02:38:39Z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523C351FEF3945529C36900230EFF9D6_12</vt:lpwstr>
  </property>
</Properties>
</file>