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0FC" w:rsidRDefault="00C670FC" w:rsidP="00C670FC">
      <w:pPr>
        <w:adjustRightInd w:val="0"/>
        <w:snapToGrid w:val="0"/>
        <w:spacing w:line="360" w:lineRule="auto"/>
        <w:jc w:val="center"/>
        <w:rPr>
          <w:rFonts w:ascii="黑体" w:eastAsia="黑体" w:hAnsi="黑体"/>
          <w:b/>
          <w:sz w:val="44"/>
          <w:szCs w:val="44"/>
        </w:rPr>
      </w:pPr>
      <w:r w:rsidRPr="00872CB9">
        <w:rPr>
          <w:rFonts w:ascii="黑体" w:eastAsia="黑体" w:hAnsi="黑体" w:hint="eastAsia"/>
          <w:b/>
          <w:sz w:val="44"/>
          <w:szCs w:val="44"/>
        </w:rPr>
        <w:t>常宁</w:t>
      </w:r>
      <w:r w:rsidR="007B4CDA">
        <w:rPr>
          <w:rFonts w:ascii="黑体" w:eastAsia="黑体" w:hAnsi="黑体" w:hint="eastAsia"/>
          <w:b/>
          <w:sz w:val="44"/>
          <w:szCs w:val="44"/>
        </w:rPr>
        <w:t>市</w:t>
      </w:r>
      <w:r>
        <w:rPr>
          <w:rFonts w:ascii="黑体" w:eastAsia="黑体" w:hAnsi="黑体" w:hint="eastAsia"/>
          <w:b/>
          <w:sz w:val="44"/>
          <w:szCs w:val="44"/>
        </w:rPr>
        <w:t>商务</w:t>
      </w:r>
      <w:r w:rsidRPr="00872CB9">
        <w:rPr>
          <w:rFonts w:ascii="黑体" w:eastAsia="黑体" w:hAnsi="黑体" w:hint="eastAsia"/>
          <w:b/>
          <w:sz w:val="44"/>
          <w:szCs w:val="44"/>
        </w:rPr>
        <w:t>局</w:t>
      </w:r>
      <w:r>
        <w:rPr>
          <w:rFonts w:ascii="黑体" w:eastAsia="黑体" w:hAnsi="黑体" w:hint="eastAsia"/>
          <w:b/>
          <w:sz w:val="44"/>
          <w:szCs w:val="44"/>
        </w:rPr>
        <w:t>2023年</w:t>
      </w:r>
      <w:r w:rsidRPr="00872CB9">
        <w:rPr>
          <w:rFonts w:ascii="黑体" w:eastAsia="黑体" w:hAnsi="黑体" w:hint="eastAsia"/>
          <w:b/>
          <w:sz w:val="44"/>
          <w:szCs w:val="44"/>
        </w:rPr>
        <w:t>部门整体支出</w:t>
      </w:r>
    </w:p>
    <w:p w:rsidR="00C670FC" w:rsidRDefault="00C670FC" w:rsidP="00C670FC">
      <w:pPr>
        <w:adjustRightInd w:val="0"/>
        <w:snapToGrid w:val="0"/>
        <w:spacing w:line="360" w:lineRule="auto"/>
        <w:jc w:val="center"/>
        <w:rPr>
          <w:rFonts w:ascii="黑体" w:eastAsia="黑体" w:hAnsi="黑体"/>
          <w:b/>
          <w:sz w:val="44"/>
          <w:szCs w:val="44"/>
        </w:rPr>
      </w:pPr>
      <w:r w:rsidRPr="00872CB9">
        <w:rPr>
          <w:rFonts w:ascii="黑体" w:eastAsia="黑体" w:hAnsi="黑体" w:hint="eastAsia"/>
          <w:b/>
          <w:sz w:val="44"/>
          <w:szCs w:val="44"/>
        </w:rPr>
        <w:t>绩效评价报告</w:t>
      </w:r>
    </w:p>
    <w:p w:rsidR="00C670FC" w:rsidRDefault="00C670FC" w:rsidP="00C670FC">
      <w:pPr>
        <w:adjustRightInd w:val="0"/>
        <w:snapToGrid w:val="0"/>
        <w:spacing w:line="360" w:lineRule="auto"/>
        <w:rPr>
          <w:rFonts w:ascii="楷体" w:eastAsia="楷体" w:hAnsi="楷体"/>
          <w:b/>
          <w:sz w:val="32"/>
          <w:szCs w:val="32"/>
        </w:rPr>
      </w:pPr>
    </w:p>
    <w:p w:rsidR="00C670FC" w:rsidRPr="00210342" w:rsidRDefault="00C670FC" w:rsidP="00C670FC">
      <w:pPr>
        <w:adjustRightInd w:val="0"/>
        <w:snapToGrid w:val="0"/>
        <w:spacing w:line="360" w:lineRule="auto"/>
        <w:ind w:firstLineChars="200" w:firstLine="643"/>
        <w:rPr>
          <w:rFonts w:asciiTheme="majorEastAsia" w:eastAsiaTheme="majorEastAsia" w:hAnsiTheme="majorEastAsia"/>
          <w:b/>
          <w:sz w:val="32"/>
          <w:szCs w:val="32"/>
        </w:rPr>
      </w:pPr>
      <w:r w:rsidRPr="00210342">
        <w:rPr>
          <w:rFonts w:asciiTheme="majorEastAsia" w:eastAsiaTheme="majorEastAsia" w:hAnsiTheme="majorEastAsia" w:hint="eastAsia"/>
          <w:b/>
          <w:sz w:val="32"/>
          <w:szCs w:val="32"/>
        </w:rPr>
        <w:t>第一部分　　常宁市商务局概况</w:t>
      </w:r>
    </w:p>
    <w:p w:rsidR="00C670FC" w:rsidRPr="00210342" w:rsidRDefault="00C670FC" w:rsidP="00C670FC">
      <w:pPr>
        <w:adjustRightInd w:val="0"/>
        <w:snapToGrid w:val="0"/>
        <w:spacing w:line="360" w:lineRule="auto"/>
        <w:rPr>
          <w:rFonts w:ascii="楷体" w:eastAsia="楷体" w:hAnsi="楷体"/>
          <w:b/>
          <w:sz w:val="32"/>
          <w:szCs w:val="32"/>
        </w:rPr>
      </w:pPr>
      <w:r>
        <w:rPr>
          <w:rFonts w:ascii="楷体" w:eastAsia="楷体" w:hAnsi="楷体" w:hint="eastAsia"/>
          <w:sz w:val="32"/>
          <w:szCs w:val="32"/>
        </w:rPr>
        <w:t xml:space="preserve">　</w:t>
      </w:r>
      <w:r w:rsidRPr="00210342">
        <w:rPr>
          <w:rFonts w:ascii="楷体" w:eastAsia="楷体" w:hAnsi="楷体" w:hint="eastAsia"/>
          <w:b/>
          <w:sz w:val="32"/>
          <w:szCs w:val="32"/>
        </w:rPr>
        <w:t xml:space="preserve">　一、单位主要职能</w:t>
      </w:r>
    </w:p>
    <w:p w:rsidR="00C670FC" w:rsidRDefault="00C670FC" w:rsidP="00C670FC">
      <w:pPr>
        <w:adjustRightInd w:val="0"/>
        <w:snapToGrid w:val="0"/>
        <w:spacing w:line="360" w:lineRule="auto"/>
        <w:ind w:firstLine="645"/>
        <w:rPr>
          <w:rFonts w:ascii="楷体" w:eastAsia="楷体" w:hAnsi="楷体"/>
          <w:sz w:val="32"/>
          <w:szCs w:val="32"/>
        </w:rPr>
      </w:pPr>
      <w:r w:rsidRPr="00367B19">
        <w:rPr>
          <w:rFonts w:ascii="楷体" w:eastAsia="楷体" w:hAnsi="楷体" w:hint="eastAsia"/>
          <w:sz w:val="32"/>
          <w:szCs w:val="32"/>
        </w:rPr>
        <w:t>拟订全市国内外贸易、招商引资、承接产业转移、对外援助、对外投资</w:t>
      </w:r>
      <w:r w:rsidR="00C90BC2">
        <w:rPr>
          <w:rFonts w:ascii="楷体" w:eastAsia="楷体" w:hAnsi="楷体" w:hint="eastAsia"/>
          <w:sz w:val="32"/>
          <w:szCs w:val="32"/>
        </w:rPr>
        <w:t>和</w:t>
      </w:r>
      <w:r w:rsidRPr="00367B19">
        <w:rPr>
          <w:rFonts w:ascii="楷体" w:eastAsia="楷体" w:hAnsi="楷体" w:hint="eastAsia"/>
          <w:sz w:val="32"/>
          <w:szCs w:val="32"/>
        </w:rPr>
        <w:t>对外经济合作的中长期规划、政策措施和实施办法；推进流通产业结构调整，指导流通企业改革，促进商贸服务业、社区商业发展；指导大宗产品批发市场规划和城市商业网点规划、商业体系建设工作，推进农村市场体系建设，组织实施农村现代流通网络工程。牵头协调整顿和规范市场经济秩序工作；承担组织实施重要消费品市场调控和重要生产资料流通管理的责任，负责建立健全生活必需品市场供应应急管理机制，按分工负责重要消费品储备管理和市场调控工作；按有关规定对成品油流通进行监督管理； 指导全市招商引资和承接产业转移工作，负责组织参与商务部、省政府、衡阳市政府举办的内外贸易促销活动和招商引资、对外经济技术合作活动；负责组织、指导、协调以常宁市名义在境内外举办的各种内外贸易交易会、展览会、展销会和招商引资等商务活动。承担全市商务系统统计及其信息发布工作，提供信息咨询服务，指导全市流通领域信息网络和电子商务建设；负责对职责范围内有关行业、领域（包括商业贸易等）的安全生产工作实施监督管</w:t>
      </w:r>
      <w:r w:rsidRPr="00367B19">
        <w:rPr>
          <w:rFonts w:ascii="楷体" w:eastAsia="楷体" w:hAnsi="楷体" w:hint="eastAsia"/>
          <w:sz w:val="32"/>
          <w:szCs w:val="32"/>
        </w:rPr>
        <w:lastRenderedPageBreak/>
        <w:t>理，等承办市人民政府交办的其他事项。</w:t>
      </w:r>
    </w:p>
    <w:p w:rsidR="00C670FC" w:rsidRPr="00210342" w:rsidRDefault="00C670FC" w:rsidP="00C670FC">
      <w:pPr>
        <w:adjustRightInd w:val="0"/>
        <w:snapToGrid w:val="0"/>
        <w:spacing w:line="360" w:lineRule="auto"/>
        <w:ind w:firstLine="645"/>
        <w:rPr>
          <w:rFonts w:ascii="楷体" w:eastAsia="楷体" w:hAnsi="楷体"/>
          <w:b/>
          <w:sz w:val="32"/>
          <w:szCs w:val="32"/>
        </w:rPr>
      </w:pPr>
      <w:r w:rsidRPr="00210342">
        <w:rPr>
          <w:rFonts w:ascii="楷体" w:eastAsia="楷体" w:hAnsi="楷体" w:hint="eastAsia"/>
          <w:b/>
          <w:sz w:val="32"/>
          <w:szCs w:val="32"/>
        </w:rPr>
        <w:t>二、机构、人员构成</w:t>
      </w:r>
    </w:p>
    <w:p w:rsidR="00C670FC" w:rsidRPr="007E1FE7" w:rsidRDefault="00C670FC" w:rsidP="00C670FC">
      <w:pPr>
        <w:ind w:firstLineChars="228" w:firstLine="730"/>
        <w:rPr>
          <w:rFonts w:ascii="楷体" w:eastAsia="楷体" w:hAnsi="楷体"/>
          <w:sz w:val="32"/>
          <w:szCs w:val="32"/>
        </w:rPr>
      </w:pPr>
      <w:r w:rsidRPr="007E1FE7">
        <w:rPr>
          <w:rFonts w:ascii="楷体" w:eastAsia="楷体" w:hAnsi="楷体" w:hint="eastAsia"/>
          <w:sz w:val="32"/>
          <w:szCs w:val="32"/>
        </w:rPr>
        <w:t>常宁市商务局为常宁市行政编制一级预算单位，在职人员</w:t>
      </w:r>
      <w:r w:rsidR="00C90BC2">
        <w:rPr>
          <w:rFonts w:ascii="楷体" w:eastAsia="楷体" w:hAnsi="楷体" w:hint="eastAsia"/>
          <w:sz w:val="32"/>
          <w:szCs w:val="32"/>
        </w:rPr>
        <w:t>8</w:t>
      </w:r>
      <w:r w:rsidR="006E5191">
        <w:rPr>
          <w:rFonts w:ascii="楷体" w:eastAsia="楷体" w:hAnsi="楷体" w:hint="eastAsia"/>
          <w:sz w:val="32"/>
          <w:szCs w:val="32"/>
        </w:rPr>
        <w:t>3</w:t>
      </w:r>
      <w:r w:rsidRPr="007E1FE7">
        <w:rPr>
          <w:rFonts w:ascii="楷体" w:eastAsia="楷体" w:hAnsi="楷体" w:hint="eastAsia"/>
          <w:sz w:val="32"/>
          <w:szCs w:val="32"/>
        </w:rPr>
        <w:t>人，退休人员</w:t>
      </w:r>
      <w:r w:rsidR="006E5191">
        <w:rPr>
          <w:rFonts w:ascii="楷体" w:eastAsia="楷体" w:hAnsi="楷体" w:hint="eastAsia"/>
          <w:sz w:val="32"/>
          <w:szCs w:val="32"/>
        </w:rPr>
        <w:t>72</w:t>
      </w:r>
      <w:r w:rsidRPr="007E1FE7">
        <w:rPr>
          <w:rFonts w:ascii="楷体" w:eastAsia="楷体" w:hAnsi="楷体" w:hint="eastAsia"/>
          <w:sz w:val="32"/>
          <w:szCs w:val="32"/>
        </w:rPr>
        <w:t>人。下辖投资促进事务中心</w:t>
      </w:r>
      <w:r w:rsidR="00C90BC2">
        <w:rPr>
          <w:rFonts w:ascii="楷体" w:eastAsia="楷体" w:hAnsi="楷体" w:hint="eastAsia"/>
          <w:sz w:val="32"/>
          <w:szCs w:val="32"/>
        </w:rPr>
        <w:t>1</w:t>
      </w:r>
      <w:r w:rsidRPr="007E1FE7">
        <w:rPr>
          <w:rFonts w:ascii="楷体" w:eastAsia="楷体" w:hAnsi="楷体" w:hint="eastAsia"/>
          <w:sz w:val="32"/>
          <w:szCs w:val="32"/>
        </w:rPr>
        <w:t>个副科级二级机构；设置办公室、财务股、人事股、市场体系建设股、市场秩序股（市场运行监测股）、法规股（行政审批服务股）、对外贸易股、电子商务股等</w:t>
      </w:r>
      <w:r w:rsidR="00C32C4B">
        <w:rPr>
          <w:rFonts w:ascii="楷体" w:eastAsia="楷体" w:hAnsi="楷体" w:hint="eastAsia"/>
          <w:sz w:val="32"/>
          <w:szCs w:val="32"/>
        </w:rPr>
        <w:t>8</w:t>
      </w:r>
      <w:r w:rsidRPr="007E1FE7">
        <w:rPr>
          <w:rFonts w:ascii="楷体" w:eastAsia="楷体" w:hAnsi="楷体" w:hint="eastAsia"/>
          <w:sz w:val="32"/>
          <w:szCs w:val="32"/>
        </w:rPr>
        <w:t>个内设机构；另按有关规定设置纪检（监察）机构。</w:t>
      </w:r>
    </w:p>
    <w:p w:rsidR="00C670FC" w:rsidRPr="00210342" w:rsidRDefault="00C670FC" w:rsidP="00C670FC">
      <w:pPr>
        <w:adjustRightInd w:val="0"/>
        <w:snapToGrid w:val="0"/>
        <w:spacing w:line="360" w:lineRule="auto"/>
        <w:ind w:firstLineChars="200" w:firstLine="643"/>
        <w:rPr>
          <w:rFonts w:asciiTheme="majorEastAsia" w:eastAsiaTheme="majorEastAsia" w:hAnsiTheme="majorEastAsia"/>
          <w:b/>
          <w:sz w:val="32"/>
          <w:szCs w:val="32"/>
        </w:rPr>
      </w:pPr>
      <w:r w:rsidRPr="00210342">
        <w:rPr>
          <w:rFonts w:asciiTheme="majorEastAsia" w:eastAsiaTheme="majorEastAsia" w:hAnsiTheme="majorEastAsia" w:hint="eastAsia"/>
          <w:b/>
          <w:sz w:val="32"/>
          <w:szCs w:val="32"/>
        </w:rPr>
        <w:t>第二部分　　部门财务情况</w:t>
      </w:r>
    </w:p>
    <w:p w:rsidR="00C670FC" w:rsidRPr="00210342" w:rsidRDefault="00C670FC" w:rsidP="00C670FC">
      <w:pPr>
        <w:adjustRightInd w:val="0"/>
        <w:snapToGrid w:val="0"/>
        <w:spacing w:line="360" w:lineRule="auto"/>
        <w:ind w:firstLine="645"/>
        <w:rPr>
          <w:rFonts w:ascii="楷体" w:eastAsia="楷体" w:hAnsi="楷体"/>
          <w:b/>
          <w:sz w:val="32"/>
          <w:szCs w:val="32"/>
        </w:rPr>
      </w:pPr>
      <w:r w:rsidRPr="00210342">
        <w:rPr>
          <w:rFonts w:ascii="楷体" w:eastAsia="楷体" w:hAnsi="楷体" w:hint="eastAsia"/>
          <w:b/>
          <w:sz w:val="32"/>
          <w:szCs w:val="32"/>
        </w:rPr>
        <w:t>一、20</w:t>
      </w:r>
      <w:r>
        <w:rPr>
          <w:rFonts w:ascii="楷体" w:eastAsia="楷体" w:hAnsi="楷体" w:hint="eastAsia"/>
          <w:b/>
          <w:sz w:val="32"/>
          <w:szCs w:val="32"/>
        </w:rPr>
        <w:t>2</w:t>
      </w:r>
      <w:r w:rsidR="00C90BC2">
        <w:rPr>
          <w:rFonts w:ascii="楷体" w:eastAsia="楷体" w:hAnsi="楷体" w:hint="eastAsia"/>
          <w:b/>
          <w:sz w:val="32"/>
          <w:szCs w:val="32"/>
        </w:rPr>
        <w:t>3</w:t>
      </w:r>
      <w:r w:rsidRPr="00210342">
        <w:rPr>
          <w:rFonts w:ascii="楷体" w:eastAsia="楷体" w:hAnsi="楷体" w:hint="eastAsia"/>
          <w:b/>
          <w:sz w:val="32"/>
          <w:szCs w:val="32"/>
        </w:rPr>
        <w:t>年度部门整体收支情况</w:t>
      </w:r>
    </w:p>
    <w:p w:rsidR="00C670FC" w:rsidRDefault="00C670FC" w:rsidP="00C670FC">
      <w:pPr>
        <w:adjustRightInd w:val="0"/>
        <w:snapToGrid w:val="0"/>
        <w:spacing w:line="360" w:lineRule="auto"/>
        <w:ind w:firstLine="645"/>
        <w:rPr>
          <w:rFonts w:ascii="楷体" w:eastAsia="楷体" w:hAnsi="楷体"/>
          <w:sz w:val="32"/>
          <w:szCs w:val="32"/>
        </w:rPr>
      </w:pPr>
      <w:r>
        <w:rPr>
          <w:rFonts w:ascii="楷体" w:eastAsia="楷体" w:hAnsi="楷体" w:hint="eastAsia"/>
          <w:sz w:val="32"/>
          <w:szCs w:val="32"/>
        </w:rPr>
        <w:t>202</w:t>
      </w:r>
      <w:r w:rsidR="00C90BC2">
        <w:rPr>
          <w:rFonts w:ascii="楷体" w:eastAsia="楷体" w:hAnsi="楷体" w:hint="eastAsia"/>
          <w:sz w:val="32"/>
          <w:szCs w:val="32"/>
        </w:rPr>
        <w:t>2</w:t>
      </w:r>
      <w:r>
        <w:rPr>
          <w:rFonts w:ascii="楷体" w:eastAsia="楷体" w:hAnsi="楷体" w:hint="eastAsia"/>
          <w:sz w:val="32"/>
          <w:szCs w:val="32"/>
        </w:rPr>
        <w:t>年常宁市商务局总收入</w:t>
      </w:r>
      <w:r w:rsidR="00C90BC2">
        <w:rPr>
          <w:rFonts w:ascii="楷体" w:eastAsia="楷体" w:hAnsi="楷体" w:hint="eastAsia"/>
          <w:sz w:val="32"/>
          <w:szCs w:val="32"/>
        </w:rPr>
        <w:t>4180.26</w:t>
      </w:r>
      <w:r>
        <w:rPr>
          <w:rFonts w:ascii="楷体" w:eastAsia="楷体" w:hAnsi="楷体" w:hint="eastAsia"/>
          <w:sz w:val="32"/>
          <w:szCs w:val="32"/>
        </w:rPr>
        <w:t>万元，其中一般公共预算收入</w:t>
      </w:r>
      <w:r w:rsidR="00C90BC2">
        <w:rPr>
          <w:rFonts w:ascii="楷体" w:eastAsia="楷体" w:hAnsi="楷体" w:hint="eastAsia"/>
          <w:sz w:val="32"/>
          <w:szCs w:val="32"/>
        </w:rPr>
        <w:t>3929.53</w:t>
      </w:r>
      <w:r>
        <w:rPr>
          <w:rFonts w:ascii="楷体" w:eastAsia="楷体" w:hAnsi="楷体" w:hint="eastAsia"/>
          <w:sz w:val="32"/>
          <w:szCs w:val="32"/>
        </w:rPr>
        <w:t>万元，占全年总收入的94%。202</w:t>
      </w:r>
      <w:r w:rsidR="00C90BC2">
        <w:rPr>
          <w:rFonts w:ascii="楷体" w:eastAsia="楷体" w:hAnsi="楷体" w:hint="eastAsia"/>
          <w:sz w:val="32"/>
          <w:szCs w:val="32"/>
        </w:rPr>
        <w:t>3</w:t>
      </w:r>
      <w:r>
        <w:rPr>
          <w:rFonts w:ascii="楷体" w:eastAsia="楷体" w:hAnsi="楷体" w:hint="eastAsia"/>
          <w:sz w:val="32"/>
          <w:szCs w:val="32"/>
        </w:rPr>
        <w:t>年常宁市商务局总支出</w:t>
      </w:r>
      <w:r w:rsidR="00C90BC2">
        <w:rPr>
          <w:rFonts w:ascii="楷体" w:eastAsia="楷体" w:hAnsi="楷体" w:hint="eastAsia"/>
          <w:sz w:val="32"/>
          <w:szCs w:val="32"/>
        </w:rPr>
        <w:t>4180.26</w:t>
      </w:r>
      <w:r>
        <w:rPr>
          <w:rFonts w:ascii="楷体" w:eastAsia="楷体" w:hAnsi="楷体" w:hint="eastAsia"/>
          <w:sz w:val="32"/>
          <w:szCs w:val="32"/>
        </w:rPr>
        <w:t>万元，其中基本支出</w:t>
      </w:r>
      <w:r w:rsidR="00C90BC2">
        <w:rPr>
          <w:rFonts w:ascii="楷体" w:eastAsia="楷体" w:hAnsi="楷体" w:hint="eastAsia"/>
          <w:sz w:val="32"/>
          <w:szCs w:val="32"/>
        </w:rPr>
        <w:t>1038.60</w:t>
      </w:r>
      <w:r>
        <w:rPr>
          <w:rFonts w:ascii="楷体" w:eastAsia="楷体" w:hAnsi="楷体" w:hint="eastAsia"/>
          <w:sz w:val="32"/>
          <w:szCs w:val="32"/>
        </w:rPr>
        <w:t>万元，占全年总支出的</w:t>
      </w:r>
      <w:r w:rsidR="00C90BC2">
        <w:rPr>
          <w:rFonts w:ascii="楷体" w:eastAsia="楷体" w:hAnsi="楷体" w:hint="eastAsia"/>
          <w:sz w:val="32"/>
          <w:szCs w:val="32"/>
        </w:rPr>
        <w:t>24.8</w:t>
      </w:r>
      <w:r>
        <w:rPr>
          <w:rFonts w:ascii="楷体" w:eastAsia="楷体" w:hAnsi="楷体" w:hint="eastAsia"/>
          <w:sz w:val="32"/>
          <w:szCs w:val="32"/>
        </w:rPr>
        <w:t>%，项目支出</w:t>
      </w:r>
      <w:r w:rsidR="00C90BC2">
        <w:rPr>
          <w:rFonts w:ascii="楷体" w:eastAsia="楷体" w:hAnsi="楷体" w:hint="eastAsia"/>
          <w:sz w:val="32"/>
          <w:szCs w:val="32"/>
        </w:rPr>
        <w:t>3141.66</w:t>
      </w:r>
      <w:r>
        <w:rPr>
          <w:rFonts w:ascii="楷体" w:eastAsia="楷体" w:hAnsi="楷体" w:hint="eastAsia"/>
          <w:sz w:val="32"/>
          <w:szCs w:val="32"/>
        </w:rPr>
        <w:t>万元，占全年总支出的</w:t>
      </w:r>
      <w:r w:rsidR="00C90BC2">
        <w:rPr>
          <w:rFonts w:ascii="楷体" w:eastAsia="楷体" w:hAnsi="楷体" w:hint="eastAsia"/>
          <w:sz w:val="32"/>
          <w:szCs w:val="32"/>
        </w:rPr>
        <w:t>75.2</w:t>
      </w:r>
      <w:r>
        <w:rPr>
          <w:rFonts w:ascii="楷体" w:eastAsia="楷体" w:hAnsi="楷体" w:hint="eastAsia"/>
          <w:sz w:val="32"/>
          <w:szCs w:val="32"/>
        </w:rPr>
        <w:t>%。</w:t>
      </w:r>
    </w:p>
    <w:p w:rsidR="00C670FC" w:rsidRPr="00210342" w:rsidRDefault="00C670FC" w:rsidP="00C670FC">
      <w:pPr>
        <w:adjustRightInd w:val="0"/>
        <w:snapToGrid w:val="0"/>
        <w:ind w:firstLine="645"/>
        <w:rPr>
          <w:rFonts w:ascii="楷体" w:eastAsia="楷体" w:hAnsi="楷体"/>
          <w:b/>
          <w:sz w:val="32"/>
          <w:szCs w:val="32"/>
        </w:rPr>
      </w:pPr>
      <w:r w:rsidRPr="00210342">
        <w:rPr>
          <w:rFonts w:ascii="楷体" w:eastAsia="楷体" w:hAnsi="楷体" w:hint="eastAsia"/>
          <w:b/>
          <w:sz w:val="32"/>
          <w:szCs w:val="32"/>
        </w:rPr>
        <w:t>二、资金使用与管理情况</w:t>
      </w:r>
    </w:p>
    <w:p w:rsidR="00C670FC" w:rsidRDefault="00C670FC" w:rsidP="00C670FC">
      <w:pPr>
        <w:ind w:firstLineChars="228" w:firstLine="730"/>
        <w:rPr>
          <w:rFonts w:ascii="楷体" w:eastAsia="楷体" w:hAnsi="楷体"/>
          <w:sz w:val="32"/>
          <w:szCs w:val="32"/>
        </w:rPr>
      </w:pPr>
      <w:r w:rsidRPr="00371B91">
        <w:rPr>
          <w:rFonts w:ascii="楷体" w:eastAsia="楷体" w:hAnsi="楷体" w:hint="eastAsia"/>
          <w:sz w:val="32"/>
          <w:szCs w:val="32"/>
        </w:rPr>
        <w:t>1、</w:t>
      </w:r>
      <w:r>
        <w:rPr>
          <w:rFonts w:ascii="楷体" w:eastAsia="楷体" w:hAnsi="楷体" w:hint="eastAsia"/>
          <w:sz w:val="32"/>
          <w:szCs w:val="32"/>
        </w:rPr>
        <w:t>基本支出</w:t>
      </w:r>
      <w:r w:rsidR="00C90BC2">
        <w:rPr>
          <w:rFonts w:ascii="楷体" w:eastAsia="楷体" w:hAnsi="楷体" w:hint="eastAsia"/>
          <w:sz w:val="32"/>
          <w:szCs w:val="32"/>
        </w:rPr>
        <w:t>1038.60</w:t>
      </w:r>
      <w:r>
        <w:rPr>
          <w:rFonts w:ascii="楷体" w:eastAsia="楷体" w:hAnsi="楷体" w:hint="eastAsia"/>
          <w:sz w:val="32"/>
          <w:szCs w:val="32"/>
        </w:rPr>
        <w:t>万元，其中：（1）</w:t>
      </w:r>
      <w:r w:rsidRPr="00371B91">
        <w:rPr>
          <w:rFonts w:ascii="楷体" w:eastAsia="楷体" w:hAnsi="楷体" w:hint="eastAsia"/>
          <w:sz w:val="32"/>
          <w:szCs w:val="32"/>
        </w:rPr>
        <w:t>工资福利支出</w:t>
      </w:r>
      <w:r w:rsidR="00C90BC2">
        <w:rPr>
          <w:rFonts w:ascii="楷体" w:eastAsia="楷体" w:hAnsi="楷体" w:hint="eastAsia"/>
          <w:sz w:val="32"/>
          <w:szCs w:val="32"/>
        </w:rPr>
        <w:t>928.12</w:t>
      </w:r>
      <w:r w:rsidRPr="00371B91">
        <w:rPr>
          <w:rFonts w:ascii="楷体" w:eastAsia="楷体" w:hAnsi="楷体" w:hint="eastAsia"/>
          <w:sz w:val="32"/>
          <w:szCs w:val="32"/>
        </w:rPr>
        <w:t>万元，用于</w:t>
      </w:r>
      <w:r>
        <w:rPr>
          <w:rFonts w:ascii="楷体" w:eastAsia="楷体" w:hAnsi="楷体" w:hint="eastAsia"/>
          <w:sz w:val="32"/>
          <w:szCs w:val="32"/>
        </w:rPr>
        <w:t>保障职工的正常待遇及各项社会保障缴费；（2）商品和服务支出</w:t>
      </w:r>
      <w:r w:rsidR="00C90BC2">
        <w:rPr>
          <w:rFonts w:ascii="楷体" w:eastAsia="楷体" w:hAnsi="楷体" w:hint="eastAsia"/>
          <w:sz w:val="32"/>
          <w:szCs w:val="32"/>
        </w:rPr>
        <w:t>110.40</w:t>
      </w:r>
      <w:r>
        <w:rPr>
          <w:rFonts w:ascii="楷体" w:eastAsia="楷体" w:hAnsi="楷体" w:hint="eastAsia"/>
          <w:sz w:val="32"/>
          <w:szCs w:val="32"/>
        </w:rPr>
        <w:t>万元，</w:t>
      </w:r>
      <w:r w:rsidRPr="00371B91">
        <w:rPr>
          <w:rFonts w:ascii="楷体" w:eastAsia="楷体" w:hAnsi="楷体" w:hint="eastAsia"/>
          <w:sz w:val="32"/>
          <w:szCs w:val="32"/>
        </w:rPr>
        <w:t>用于单位办公费、印刷费、水电费、差旅费、维修(护)费、会议费、培训费、公务接待费、福利费、税金、其他商品服务支出等，保证正常运转。</w:t>
      </w:r>
      <w:r>
        <w:rPr>
          <w:rFonts w:ascii="楷体" w:eastAsia="楷体" w:hAnsi="楷体" w:hint="eastAsia"/>
          <w:sz w:val="32"/>
          <w:szCs w:val="32"/>
        </w:rPr>
        <w:t>（3）对个人和家庭补助</w:t>
      </w:r>
      <w:r w:rsidR="00C90BC2">
        <w:rPr>
          <w:rFonts w:ascii="楷体" w:eastAsia="楷体" w:hAnsi="楷体" w:hint="eastAsia"/>
          <w:sz w:val="32"/>
          <w:szCs w:val="32"/>
        </w:rPr>
        <w:t>0.08</w:t>
      </w:r>
      <w:r>
        <w:rPr>
          <w:rFonts w:ascii="楷体" w:eastAsia="楷体" w:hAnsi="楷体" w:hint="eastAsia"/>
          <w:sz w:val="32"/>
          <w:szCs w:val="32"/>
        </w:rPr>
        <w:t>万元。</w:t>
      </w:r>
    </w:p>
    <w:p w:rsidR="00C670FC" w:rsidRDefault="00C670FC" w:rsidP="00C670FC">
      <w:pPr>
        <w:ind w:firstLineChars="228" w:firstLine="730"/>
        <w:rPr>
          <w:rFonts w:ascii="楷体" w:eastAsia="楷体" w:hAnsi="楷体"/>
          <w:sz w:val="32"/>
          <w:szCs w:val="32"/>
        </w:rPr>
      </w:pPr>
      <w:r>
        <w:rPr>
          <w:rFonts w:ascii="楷体" w:eastAsia="楷体" w:hAnsi="楷体" w:hint="eastAsia"/>
          <w:sz w:val="32"/>
          <w:szCs w:val="32"/>
        </w:rPr>
        <w:lastRenderedPageBreak/>
        <w:t>2</w:t>
      </w:r>
      <w:r w:rsidRPr="00371B91">
        <w:rPr>
          <w:rFonts w:ascii="楷体" w:eastAsia="楷体" w:hAnsi="楷体" w:hint="eastAsia"/>
          <w:sz w:val="32"/>
          <w:szCs w:val="32"/>
        </w:rPr>
        <w:t>、</w:t>
      </w:r>
      <w:r>
        <w:rPr>
          <w:rFonts w:ascii="楷体" w:eastAsia="楷体" w:hAnsi="楷体" w:hint="eastAsia"/>
          <w:sz w:val="32"/>
          <w:szCs w:val="32"/>
        </w:rPr>
        <w:t>项目支出</w:t>
      </w:r>
      <w:r w:rsidR="00575956">
        <w:rPr>
          <w:rFonts w:ascii="楷体" w:eastAsia="楷体" w:hAnsi="楷体" w:hint="eastAsia"/>
          <w:sz w:val="32"/>
          <w:szCs w:val="32"/>
        </w:rPr>
        <w:t>3141.66</w:t>
      </w:r>
      <w:r>
        <w:rPr>
          <w:rFonts w:ascii="楷体" w:eastAsia="楷体" w:hAnsi="楷体" w:hint="eastAsia"/>
          <w:sz w:val="32"/>
          <w:szCs w:val="32"/>
        </w:rPr>
        <w:t>万元，其中</w:t>
      </w:r>
      <w:r w:rsidR="00575956">
        <w:rPr>
          <w:rFonts w:ascii="楷体" w:eastAsia="楷体" w:hAnsi="楷体" w:hint="eastAsia"/>
          <w:sz w:val="32"/>
          <w:szCs w:val="32"/>
        </w:rPr>
        <w:t>：</w:t>
      </w:r>
      <w:r w:rsidR="007D3ABE">
        <w:rPr>
          <w:rFonts w:ascii="楷体" w:eastAsia="楷体" w:hAnsi="楷体" w:hint="eastAsia"/>
          <w:sz w:val="32"/>
          <w:szCs w:val="32"/>
        </w:rPr>
        <w:t>行政运行20.60万元，</w:t>
      </w:r>
      <w:r>
        <w:rPr>
          <w:rFonts w:ascii="楷体" w:eastAsia="楷体" w:hAnsi="楷体" w:hint="eastAsia"/>
          <w:sz w:val="32"/>
          <w:szCs w:val="32"/>
        </w:rPr>
        <w:t>一般行政管理事务</w:t>
      </w:r>
      <w:r w:rsidR="007D3ABE">
        <w:rPr>
          <w:rFonts w:ascii="楷体" w:eastAsia="楷体" w:hAnsi="楷体" w:hint="eastAsia"/>
          <w:sz w:val="32"/>
          <w:szCs w:val="32"/>
        </w:rPr>
        <w:t>157.29</w:t>
      </w:r>
      <w:r>
        <w:rPr>
          <w:rFonts w:ascii="楷体" w:eastAsia="楷体" w:hAnsi="楷体" w:hint="eastAsia"/>
          <w:sz w:val="32"/>
          <w:szCs w:val="32"/>
        </w:rPr>
        <w:t>万元，招商引资</w:t>
      </w:r>
      <w:r w:rsidR="007D3ABE">
        <w:rPr>
          <w:rFonts w:ascii="楷体" w:eastAsia="楷体" w:hAnsi="楷体" w:hint="eastAsia"/>
          <w:sz w:val="32"/>
          <w:szCs w:val="32"/>
        </w:rPr>
        <w:t>181.18</w:t>
      </w:r>
      <w:r>
        <w:rPr>
          <w:rFonts w:ascii="楷体" w:eastAsia="楷体" w:hAnsi="楷体" w:hint="eastAsia"/>
          <w:sz w:val="32"/>
          <w:szCs w:val="32"/>
        </w:rPr>
        <w:t>万元，其他商贸事务支出</w:t>
      </w:r>
      <w:r w:rsidR="007D3ABE">
        <w:rPr>
          <w:rFonts w:ascii="楷体" w:eastAsia="楷体" w:hAnsi="楷体" w:hint="eastAsia"/>
          <w:sz w:val="32"/>
          <w:szCs w:val="32"/>
        </w:rPr>
        <w:t>117.90</w:t>
      </w:r>
      <w:r>
        <w:rPr>
          <w:rFonts w:ascii="楷体" w:eastAsia="楷体" w:hAnsi="楷体" w:hint="eastAsia"/>
          <w:sz w:val="32"/>
          <w:szCs w:val="32"/>
        </w:rPr>
        <w:t>万元，社会保障和就业支出</w:t>
      </w:r>
      <w:r w:rsidR="007D3ABE">
        <w:rPr>
          <w:rFonts w:ascii="楷体" w:eastAsia="楷体" w:hAnsi="楷体" w:hint="eastAsia"/>
          <w:sz w:val="32"/>
          <w:szCs w:val="32"/>
        </w:rPr>
        <w:t>130.71</w:t>
      </w:r>
      <w:r>
        <w:rPr>
          <w:rFonts w:ascii="楷体" w:eastAsia="楷体" w:hAnsi="楷体" w:hint="eastAsia"/>
          <w:sz w:val="32"/>
          <w:szCs w:val="32"/>
        </w:rPr>
        <w:t>万元，</w:t>
      </w:r>
      <w:r w:rsidR="007D3ABE">
        <w:rPr>
          <w:rFonts w:ascii="楷体" w:eastAsia="楷体" w:hAnsi="楷体" w:hint="eastAsia"/>
          <w:sz w:val="32"/>
          <w:szCs w:val="32"/>
        </w:rPr>
        <w:t>卫生健康支出4.47万元，农林水支出52.84万元，</w:t>
      </w:r>
      <w:r>
        <w:rPr>
          <w:rFonts w:ascii="楷体" w:eastAsia="楷体" w:hAnsi="楷体" w:hint="eastAsia"/>
          <w:sz w:val="32"/>
          <w:szCs w:val="32"/>
        </w:rPr>
        <w:t>商业流通事务</w:t>
      </w:r>
      <w:r w:rsidR="007D3ABE">
        <w:rPr>
          <w:rFonts w:ascii="楷体" w:eastAsia="楷体" w:hAnsi="楷体" w:hint="eastAsia"/>
          <w:sz w:val="32"/>
          <w:szCs w:val="32"/>
        </w:rPr>
        <w:t>96.14</w:t>
      </w:r>
      <w:r>
        <w:rPr>
          <w:rFonts w:ascii="楷体" w:eastAsia="楷体" w:hAnsi="楷体" w:hint="eastAsia"/>
          <w:sz w:val="32"/>
          <w:szCs w:val="32"/>
        </w:rPr>
        <w:t>万元，涉外发展服务支出</w:t>
      </w:r>
      <w:r w:rsidR="007D3ABE">
        <w:rPr>
          <w:rFonts w:ascii="楷体" w:eastAsia="楷体" w:hAnsi="楷体" w:hint="eastAsia"/>
          <w:sz w:val="32"/>
          <w:szCs w:val="32"/>
        </w:rPr>
        <w:t>126.85</w:t>
      </w:r>
      <w:r>
        <w:rPr>
          <w:rFonts w:ascii="楷体" w:eastAsia="楷体" w:hAnsi="楷体" w:hint="eastAsia"/>
          <w:sz w:val="32"/>
          <w:szCs w:val="32"/>
        </w:rPr>
        <w:t>万元，粮油物资储备支出</w:t>
      </w:r>
      <w:r w:rsidR="007D3ABE">
        <w:rPr>
          <w:rFonts w:ascii="楷体" w:eastAsia="楷体" w:hAnsi="楷体" w:hint="eastAsia"/>
          <w:sz w:val="32"/>
          <w:szCs w:val="32"/>
        </w:rPr>
        <w:t>2002.48</w:t>
      </w:r>
      <w:r>
        <w:rPr>
          <w:rFonts w:ascii="楷体" w:eastAsia="楷体" w:hAnsi="楷体" w:hint="eastAsia"/>
          <w:sz w:val="32"/>
          <w:szCs w:val="32"/>
        </w:rPr>
        <w:t>万元，</w:t>
      </w:r>
      <w:r w:rsidR="007D3ABE">
        <w:rPr>
          <w:rFonts w:ascii="楷体" w:eastAsia="楷体" w:hAnsi="楷体" w:hint="eastAsia"/>
          <w:sz w:val="32"/>
          <w:szCs w:val="32"/>
        </w:rPr>
        <w:t>灾害防治及应急管理支出0.47万元，</w:t>
      </w:r>
      <w:r>
        <w:rPr>
          <w:rFonts w:ascii="楷体" w:eastAsia="楷体" w:hAnsi="楷体" w:hint="eastAsia"/>
          <w:sz w:val="32"/>
          <w:szCs w:val="32"/>
        </w:rPr>
        <w:t>其他支出25</w:t>
      </w:r>
      <w:r w:rsidR="007D3ABE">
        <w:rPr>
          <w:rFonts w:ascii="楷体" w:eastAsia="楷体" w:hAnsi="楷体" w:hint="eastAsia"/>
          <w:sz w:val="32"/>
          <w:szCs w:val="32"/>
        </w:rPr>
        <w:t>0.73</w:t>
      </w:r>
      <w:r>
        <w:rPr>
          <w:rFonts w:ascii="楷体" w:eastAsia="楷体" w:hAnsi="楷体" w:hint="eastAsia"/>
          <w:sz w:val="32"/>
          <w:szCs w:val="32"/>
        </w:rPr>
        <w:t>万元。</w:t>
      </w:r>
    </w:p>
    <w:p w:rsidR="00C670FC" w:rsidRPr="00210342" w:rsidRDefault="00C670FC" w:rsidP="00C670FC">
      <w:pPr>
        <w:ind w:firstLineChars="228" w:firstLine="732"/>
        <w:rPr>
          <w:rFonts w:ascii="楷体" w:eastAsia="楷体" w:hAnsi="楷体"/>
          <w:b/>
          <w:sz w:val="32"/>
          <w:szCs w:val="32"/>
        </w:rPr>
      </w:pPr>
      <w:r w:rsidRPr="00210342">
        <w:rPr>
          <w:rFonts w:ascii="楷体" w:eastAsia="楷体" w:hAnsi="楷体" w:hint="eastAsia"/>
          <w:b/>
          <w:sz w:val="32"/>
          <w:szCs w:val="32"/>
        </w:rPr>
        <w:t>三、部门绩效目标</w:t>
      </w:r>
    </w:p>
    <w:p w:rsidR="00C670FC" w:rsidRDefault="00C670FC" w:rsidP="00C670FC">
      <w:pPr>
        <w:ind w:firstLineChars="228" w:firstLine="730"/>
        <w:rPr>
          <w:rFonts w:ascii="楷体" w:eastAsia="楷体" w:hAnsi="楷体"/>
          <w:sz w:val="32"/>
          <w:szCs w:val="32"/>
        </w:rPr>
      </w:pPr>
      <w:r w:rsidRPr="003D7233">
        <w:rPr>
          <w:rFonts w:ascii="楷体" w:eastAsia="楷体" w:hAnsi="楷体" w:hint="eastAsia"/>
          <w:sz w:val="32"/>
          <w:szCs w:val="32"/>
        </w:rPr>
        <w:t>严格</w:t>
      </w:r>
      <w:r>
        <w:rPr>
          <w:rFonts w:ascii="楷体" w:eastAsia="楷体" w:hAnsi="楷体" w:hint="eastAsia"/>
          <w:sz w:val="32"/>
          <w:szCs w:val="32"/>
        </w:rPr>
        <w:t>按照预算资金绩效管理的相关要求，</w:t>
      </w:r>
      <w:r w:rsidRPr="003D7233">
        <w:rPr>
          <w:rFonts w:ascii="楷体" w:eastAsia="楷体" w:hAnsi="楷体" w:hint="eastAsia"/>
          <w:sz w:val="32"/>
          <w:szCs w:val="32"/>
        </w:rPr>
        <w:t>规范管理和使用预算资金，</w:t>
      </w:r>
      <w:r>
        <w:rPr>
          <w:rFonts w:ascii="楷体" w:eastAsia="楷体" w:hAnsi="楷体" w:hint="eastAsia"/>
          <w:sz w:val="32"/>
          <w:szCs w:val="32"/>
        </w:rPr>
        <w:t>保证</w:t>
      </w:r>
      <w:r w:rsidRPr="003D7233">
        <w:rPr>
          <w:rFonts w:ascii="楷体" w:eastAsia="楷体" w:hAnsi="楷体" w:hint="eastAsia"/>
          <w:sz w:val="32"/>
          <w:szCs w:val="32"/>
        </w:rPr>
        <w:t>单位正常运转和</w:t>
      </w:r>
      <w:r>
        <w:rPr>
          <w:rFonts w:ascii="楷体" w:eastAsia="楷体" w:hAnsi="楷体" w:hint="eastAsia"/>
          <w:sz w:val="32"/>
          <w:szCs w:val="32"/>
        </w:rPr>
        <w:t>履行好工作职能，充分发挥预算资金效益，进一步提升部门工作效率。</w:t>
      </w:r>
    </w:p>
    <w:p w:rsidR="00C670FC" w:rsidRPr="00210342" w:rsidRDefault="00C670FC" w:rsidP="00C670FC">
      <w:pPr>
        <w:ind w:firstLineChars="228" w:firstLine="732"/>
        <w:rPr>
          <w:rFonts w:ascii="楷体" w:eastAsia="楷体" w:hAnsi="楷体"/>
          <w:b/>
          <w:sz w:val="32"/>
          <w:szCs w:val="32"/>
        </w:rPr>
      </w:pPr>
      <w:r w:rsidRPr="00210342">
        <w:rPr>
          <w:rFonts w:ascii="楷体" w:eastAsia="楷体" w:hAnsi="楷体" w:hint="eastAsia"/>
          <w:b/>
          <w:sz w:val="32"/>
          <w:szCs w:val="32"/>
        </w:rPr>
        <w:t>四、部门整体绩效情况</w:t>
      </w:r>
    </w:p>
    <w:p w:rsidR="007D3ABE" w:rsidRPr="007D3ABE" w:rsidRDefault="00C670FC" w:rsidP="007D3ABE">
      <w:pPr>
        <w:spacing w:line="600" w:lineRule="exact"/>
        <w:ind w:firstLineChars="200" w:firstLine="643"/>
        <w:rPr>
          <w:rFonts w:ascii="楷体" w:eastAsia="楷体" w:hAnsi="楷体"/>
          <w:sz w:val="32"/>
          <w:szCs w:val="32"/>
        </w:rPr>
      </w:pPr>
      <w:r w:rsidRPr="00B513B4">
        <w:rPr>
          <w:rFonts w:ascii="楷体" w:eastAsia="楷体" w:hAnsi="楷体" w:cs="楷体" w:hint="eastAsia"/>
          <w:b/>
          <w:bCs/>
          <w:color w:val="000000"/>
          <w:sz w:val="32"/>
          <w:szCs w:val="32"/>
        </w:rPr>
        <w:t>1.招商引资</w:t>
      </w:r>
      <w:r>
        <w:rPr>
          <w:rFonts w:ascii="楷体" w:eastAsia="楷体" w:hAnsi="楷体" w:cs="楷体" w:hint="eastAsia"/>
          <w:b/>
          <w:bCs/>
          <w:color w:val="000000"/>
          <w:sz w:val="32"/>
          <w:szCs w:val="32"/>
        </w:rPr>
        <w:t>工作成绩显著</w:t>
      </w:r>
      <w:r w:rsidRPr="00B513B4">
        <w:rPr>
          <w:rFonts w:ascii="楷体" w:eastAsia="楷体" w:hAnsi="楷体" w:cs="楷体" w:hint="eastAsia"/>
          <w:b/>
          <w:bCs/>
          <w:color w:val="000000"/>
          <w:sz w:val="32"/>
          <w:szCs w:val="32"/>
        </w:rPr>
        <w:t>。</w:t>
      </w:r>
      <w:r w:rsidR="007D3ABE" w:rsidRPr="007D3ABE">
        <w:rPr>
          <w:rFonts w:ascii="楷体" w:eastAsia="楷体" w:hAnsi="楷体" w:hint="eastAsia"/>
          <w:sz w:val="32"/>
          <w:szCs w:val="32"/>
        </w:rPr>
        <w:t>招商引资总额234.3亿元，完成年度任务106.5%；“五制一平台”录入项目39个，总投资355.9亿元，总得分28.79；实际利用内资48个，到位资金99.99亿元，完成年度任务101%；新增湘商回归项目11个，完成年度任务112.5%，到位资金29.76亿元；引进三类500强项目2个，分别为五矿铜业年产5万吨阴极铜项目和三峡新能源发电（常宁）有限公司能源项目；外资到资557万美元（4000万人民币），完成年度任务111.4%。</w:t>
      </w:r>
    </w:p>
    <w:p w:rsidR="007D3ABE" w:rsidRPr="007D3ABE" w:rsidRDefault="00C670FC" w:rsidP="007D3ABE">
      <w:pPr>
        <w:spacing w:line="600" w:lineRule="exact"/>
        <w:ind w:firstLineChars="200" w:firstLine="643"/>
        <w:rPr>
          <w:rFonts w:ascii="楷体" w:eastAsia="楷体" w:hAnsi="楷体"/>
          <w:sz w:val="32"/>
          <w:szCs w:val="32"/>
        </w:rPr>
      </w:pPr>
      <w:r w:rsidRPr="003363B8">
        <w:rPr>
          <w:rFonts w:ascii="楷体" w:eastAsia="楷体" w:hAnsi="楷体" w:hint="eastAsia"/>
          <w:b/>
          <w:color w:val="000000"/>
          <w:sz w:val="32"/>
          <w:szCs w:val="32"/>
        </w:rPr>
        <w:t>2、</w:t>
      </w:r>
      <w:r w:rsidR="007D3ABE">
        <w:rPr>
          <w:rFonts w:ascii="楷体" w:eastAsia="楷体" w:hAnsi="楷体" w:hint="eastAsia"/>
          <w:b/>
          <w:sz w:val="32"/>
          <w:szCs w:val="32"/>
        </w:rPr>
        <w:t>外经外贸量质齐升。</w:t>
      </w:r>
      <w:r w:rsidR="007D3ABE" w:rsidRPr="007D3ABE">
        <w:rPr>
          <w:rFonts w:ascii="楷体" w:eastAsia="楷体" w:hAnsi="楷体" w:hint="eastAsia"/>
          <w:sz w:val="32"/>
          <w:szCs w:val="32"/>
        </w:rPr>
        <w:t>1-12月，进出口实绩企业17家，新增破零企业5家，进出口总额60亿元，同比增长19.9%，</w:t>
      </w:r>
      <w:r w:rsidR="007D3ABE" w:rsidRPr="007D3ABE">
        <w:rPr>
          <w:rFonts w:ascii="楷体" w:eastAsia="楷体" w:hAnsi="楷体" w:hint="eastAsia"/>
          <w:sz w:val="32"/>
          <w:szCs w:val="32"/>
        </w:rPr>
        <w:lastRenderedPageBreak/>
        <w:t>总额和增速在衡阳七县市中排名第一。我局为五矿铜业（湖南）有限公司等6家企业申请物流支持、破零倍增、管理体系认证、第五届进博会资金310.3万元；湖南鑫桂农业有限公司马来西亚生猪养殖项目已经通过境外投资备案，完成投资110万美元；常宁市外贸特色产业集群（纺织）被湖南省商务厅“稳规模、优结构”典型经验做法复制推广；常宁市在推动外贸外资保稳提质、深入推进“湘商回归”等方面持续发力，被湖南省商务厅作为全省商务系统一批行之有效的典型经验做法进行推广；组织12个企业参加中非经贸博览会、广交会、中国国际进口博览会、中国国际供应链博览会、东盟博览会等重点展会平台，引导企业与新兴市场合作，开拓海外业务。</w:t>
      </w:r>
    </w:p>
    <w:p w:rsidR="007D3ABE" w:rsidRPr="007D3ABE" w:rsidRDefault="00C670FC" w:rsidP="007D3ABE">
      <w:pPr>
        <w:spacing w:line="600" w:lineRule="exact"/>
        <w:ind w:firstLineChars="200" w:firstLine="640"/>
        <w:rPr>
          <w:rFonts w:ascii="楷体" w:eastAsia="楷体" w:hAnsi="楷体"/>
          <w:sz w:val="32"/>
          <w:szCs w:val="32"/>
        </w:rPr>
      </w:pPr>
      <w:r>
        <w:rPr>
          <w:rFonts w:ascii="楷体" w:eastAsia="楷体" w:hAnsi="楷体" w:hint="eastAsia"/>
          <w:sz w:val="32"/>
          <w:szCs w:val="32"/>
        </w:rPr>
        <w:t>3、</w:t>
      </w:r>
      <w:r w:rsidR="007D3ABE">
        <w:rPr>
          <w:rFonts w:ascii="楷体" w:eastAsia="楷体" w:hAnsi="楷体" w:hint="eastAsia"/>
          <w:b/>
          <w:sz w:val="32"/>
          <w:szCs w:val="32"/>
        </w:rPr>
        <w:t>内贸流通稳中向好。</w:t>
      </w:r>
      <w:r w:rsidR="007D3ABE" w:rsidRPr="007D3ABE">
        <w:rPr>
          <w:rFonts w:ascii="楷体" w:eastAsia="楷体" w:hAnsi="楷体" w:hint="eastAsia"/>
          <w:sz w:val="32"/>
          <w:szCs w:val="32"/>
        </w:rPr>
        <w:t>摸清达限近限企业情况，筛选新注册企业和一般纳税人企业，做好“四上”企业培育和申报工作，全年社会消费品零售总额达151.4亿元，新增限上批零住餐企业32家；做好商务部各监测系统的周、旬、月和季报的上报工作，上报率近100%；常宁市天佑农牧有限公司、常宁市红星养殖场定为省市级生猪活体储备基地场，保障我市猪肉价格平稳；利用专题促销、假日促销、旅游促销和会展促销、“线上引流，线下消费”等多种形式开展促消费活动，提升了常宁农特产品、旅游资源的知名度，促进了零售、住宿餐饮业的消费。</w:t>
      </w:r>
    </w:p>
    <w:p w:rsidR="007D3ABE" w:rsidRPr="007D3ABE" w:rsidRDefault="00C670FC" w:rsidP="007D3ABE">
      <w:pPr>
        <w:spacing w:line="600" w:lineRule="exact"/>
        <w:ind w:firstLineChars="200" w:firstLine="643"/>
        <w:rPr>
          <w:rFonts w:ascii="楷体" w:eastAsia="楷体" w:hAnsi="楷体"/>
          <w:sz w:val="32"/>
          <w:szCs w:val="32"/>
        </w:rPr>
      </w:pPr>
      <w:r>
        <w:rPr>
          <w:rFonts w:ascii="楷体" w:eastAsia="楷体" w:hAnsi="楷体" w:hint="eastAsia"/>
          <w:b/>
          <w:sz w:val="32"/>
          <w:szCs w:val="32"/>
        </w:rPr>
        <w:t>4</w:t>
      </w:r>
      <w:r w:rsidRPr="00FE32E9">
        <w:rPr>
          <w:rFonts w:ascii="楷体" w:eastAsia="楷体" w:hAnsi="楷体" w:hint="eastAsia"/>
          <w:b/>
          <w:sz w:val="32"/>
          <w:szCs w:val="32"/>
        </w:rPr>
        <w:t>、</w:t>
      </w:r>
      <w:r w:rsidR="007D3ABE">
        <w:rPr>
          <w:rFonts w:ascii="楷体" w:eastAsia="楷体" w:hAnsi="楷体" w:hint="eastAsia"/>
          <w:b/>
          <w:sz w:val="32"/>
          <w:szCs w:val="32"/>
        </w:rPr>
        <w:t>电商发展成效显著。</w:t>
      </w:r>
      <w:r w:rsidR="007D3ABE" w:rsidRPr="007D3ABE">
        <w:rPr>
          <w:rFonts w:ascii="楷体" w:eastAsia="楷体" w:hAnsi="楷体" w:hint="eastAsia"/>
          <w:sz w:val="32"/>
          <w:szCs w:val="32"/>
        </w:rPr>
        <w:t>搭建产销对接平台，组织湖南通吃香食品科技有限公司等8家电商企业参加2023年中国国际</w:t>
      </w:r>
      <w:r w:rsidR="007D3ABE" w:rsidRPr="007D3ABE">
        <w:rPr>
          <w:rFonts w:ascii="楷体" w:eastAsia="楷体" w:hAnsi="楷体" w:hint="eastAsia"/>
          <w:sz w:val="32"/>
          <w:szCs w:val="32"/>
        </w:rPr>
        <w:lastRenderedPageBreak/>
        <w:t>电子商务博览会，共有30余款商品参加展销，让常宁农产品走向国际舞台，助推常企常品“跨境出海”；举办2024常宁有礼·年货节暨消费促进年活动、脐橙采摘节及电商助力乡村振兴直播活动等活动，通过线上下单，线下配送的形式，为消费者搭建线上交易平台，提升我市居民消费水平；联合常宁市就业服务中心举办8次网络创业直播培训班，安排6批13人次参加衡阳市跨境电商培训，提高电商队伍能力；举办湖南省首届“耀动三湘”网络创业直播大赛暨常宁市选拔赛，通过短视频及直播电商模式，赋能电商发展，为乡村振兴建设添砖加瓦。</w:t>
      </w:r>
    </w:p>
    <w:p w:rsidR="00FD40DC" w:rsidRPr="00FD40DC" w:rsidRDefault="00C670FC" w:rsidP="00FD40DC">
      <w:pPr>
        <w:spacing w:line="600" w:lineRule="exact"/>
        <w:ind w:firstLineChars="200" w:firstLine="643"/>
        <w:rPr>
          <w:rFonts w:ascii="楷体" w:eastAsia="楷体" w:hAnsi="楷体"/>
          <w:sz w:val="32"/>
          <w:szCs w:val="32"/>
        </w:rPr>
      </w:pPr>
      <w:r>
        <w:rPr>
          <w:rFonts w:ascii="楷体" w:eastAsia="楷体" w:hAnsi="楷体" w:hint="eastAsia"/>
          <w:b/>
          <w:color w:val="000000"/>
          <w:sz w:val="32"/>
          <w:szCs w:val="32"/>
        </w:rPr>
        <w:t>5</w:t>
      </w:r>
      <w:r w:rsidRPr="00E65C09">
        <w:rPr>
          <w:rFonts w:ascii="楷体" w:eastAsia="楷体" w:hAnsi="楷体" w:hint="eastAsia"/>
          <w:b/>
          <w:color w:val="000000"/>
          <w:sz w:val="32"/>
          <w:szCs w:val="32"/>
        </w:rPr>
        <w:t>、</w:t>
      </w:r>
      <w:r w:rsidR="00FD40DC">
        <w:rPr>
          <w:rFonts w:ascii="楷体" w:eastAsia="楷体" w:hAnsi="楷体" w:hint="eastAsia"/>
          <w:b/>
          <w:sz w:val="32"/>
          <w:szCs w:val="32"/>
        </w:rPr>
        <w:t>市场体系稳步推进。</w:t>
      </w:r>
      <w:r w:rsidR="00FD40DC" w:rsidRPr="00FD40DC">
        <w:rPr>
          <w:rFonts w:ascii="楷体" w:eastAsia="楷体" w:hAnsi="楷体" w:hint="eastAsia"/>
          <w:sz w:val="32"/>
          <w:szCs w:val="32"/>
        </w:rPr>
        <w:t>加强对二手车市场时行交通顽瘴痼疾整治和二手车经营公司（个体经营户）清理整顿，规范企业经营行为；积极做好县域商业体系建设项目和农产品供应链项目遴选、实地考察和资料申报工作，2023年争取项目资金1047万元，为企业发展聚势赋能。</w:t>
      </w:r>
    </w:p>
    <w:p w:rsidR="00C670FC" w:rsidRPr="00210342" w:rsidRDefault="00C670FC" w:rsidP="00FD40DC">
      <w:pPr>
        <w:ind w:firstLineChars="200" w:firstLine="643"/>
        <w:rPr>
          <w:rFonts w:ascii="楷体" w:eastAsia="楷体" w:hAnsi="楷体"/>
          <w:b/>
          <w:color w:val="000000"/>
          <w:sz w:val="32"/>
          <w:szCs w:val="32"/>
        </w:rPr>
      </w:pPr>
      <w:r w:rsidRPr="00210342">
        <w:rPr>
          <w:rFonts w:ascii="楷体" w:eastAsia="楷体" w:hAnsi="楷体" w:hint="eastAsia"/>
          <w:b/>
          <w:color w:val="000000"/>
          <w:sz w:val="32"/>
          <w:szCs w:val="32"/>
        </w:rPr>
        <w:t>五、存在的问题</w:t>
      </w:r>
    </w:p>
    <w:p w:rsidR="00C670FC" w:rsidRDefault="00C670FC" w:rsidP="00C670FC">
      <w:pPr>
        <w:ind w:firstLineChars="228" w:firstLine="730"/>
        <w:rPr>
          <w:rFonts w:ascii="楷体" w:eastAsia="楷体" w:hAnsi="楷体"/>
          <w:sz w:val="32"/>
          <w:szCs w:val="32"/>
        </w:rPr>
      </w:pPr>
      <w:r>
        <w:rPr>
          <w:rFonts w:ascii="楷体" w:eastAsia="楷体" w:hAnsi="楷体" w:hint="eastAsia"/>
          <w:sz w:val="32"/>
          <w:szCs w:val="32"/>
        </w:rPr>
        <w:t>1、由于财政预算收入的逐年减少，机关人员经费保证越来越吃紧，甚至影响日常工作的正常开展。</w:t>
      </w:r>
    </w:p>
    <w:p w:rsidR="00C670FC" w:rsidRDefault="00C670FC" w:rsidP="00C670FC">
      <w:pPr>
        <w:ind w:firstLine="645"/>
        <w:rPr>
          <w:rFonts w:ascii="楷体" w:eastAsia="楷体" w:hAnsi="楷体"/>
          <w:sz w:val="32"/>
          <w:szCs w:val="32"/>
        </w:rPr>
      </w:pPr>
      <w:r>
        <w:rPr>
          <w:rFonts w:ascii="楷体" w:eastAsia="楷体" w:hAnsi="楷体" w:hint="eastAsia"/>
          <w:sz w:val="32"/>
          <w:szCs w:val="32"/>
        </w:rPr>
        <w:t>2、近年来，国家提高了对退休老干部的福利待遇的标准，为了保证退休老干部的福利待遇，只能压缩机关的工作经费，甚至有时挤占项目支出资金。</w:t>
      </w:r>
    </w:p>
    <w:p w:rsidR="00E90B69" w:rsidRPr="00FD40DC" w:rsidRDefault="00C670FC" w:rsidP="00FD40DC">
      <w:pPr>
        <w:ind w:firstLine="645"/>
        <w:rPr>
          <w:rFonts w:ascii="楷体" w:eastAsia="楷体" w:hAnsi="楷体"/>
          <w:sz w:val="32"/>
          <w:szCs w:val="32"/>
        </w:rPr>
      </w:pPr>
      <w:r>
        <w:rPr>
          <w:rFonts w:ascii="楷体" w:eastAsia="楷体" w:hAnsi="楷体" w:hint="eastAsia"/>
          <w:sz w:val="32"/>
          <w:szCs w:val="32"/>
        </w:rPr>
        <w:t>3、虽然每个项目支出都能按照预算资金绩效管理的相关要求进行管理，但还是存在个别项目支出的绩效目标难以达到要求。</w:t>
      </w:r>
    </w:p>
    <w:sectPr w:rsidR="00E90B69" w:rsidRPr="00FD40DC" w:rsidSect="008C57A4">
      <w:headerReference w:type="default" r:id="rId6"/>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D55" w:rsidRDefault="007D2D55" w:rsidP="000963A6">
      <w:r>
        <w:separator/>
      </w:r>
    </w:p>
  </w:endnote>
  <w:endnote w:type="continuationSeparator" w:id="0">
    <w:p w:rsidR="007D2D55" w:rsidRDefault="007D2D55" w:rsidP="000963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D55" w:rsidRDefault="007D2D55" w:rsidP="000963A6">
      <w:r>
        <w:separator/>
      </w:r>
    </w:p>
  </w:footnote>
  <w:footnote w:type="continuationSeparator" w:id="0">
    <w:p w:rsidR="007D2D55" w:rsidRDefault="007D2D55" w:rsidP="000963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D99" w:rsidRDefault="003853B7" w:rsidP="000D54C3">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70FC"/>
    <w:rsid w:val="000963A6"/>
    <w:rsid w:val="000B1EEA"/>
    <w:rsid w:val="003853B7"/>
    <w:rsid w:val="00575956"/>
    <w:rsid w:val="00686EF4"/>
    <w:rsid w:val="006E5191"/>
    <w:rsid w:val="007B4CDA"/>
    <w:rsid w:val="007D2D55"/>
    <w:rsid w:val="007D3ABE"/>
    <w:rsid w:val="008252BB"/>
    <w:rsid w:val="00A15009"/>
    <w:rsid w:val="00C32C4B"/>
    <w:rsid w:val="00C670FC"/>
    <w:rsid w:val="00C90BC2"/>
    <w:rsid w:val="00D55FCA"/>
    <w:rsid w:val="00E90B69"/>
    <w:rsid w:val="00FD40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0F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70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70FC"/>
    <w:rPr>
      <w:rFonts w:ascii="Calibri" w:eastAsia="宋体" w:hAnsi="Calibri" w:cs="Times New Roman"/>
      <w:sz w:val="18"/>
      <w:szCs w:val="18"/>
    </w:rPr>
  </w:style>
  <w:style w:type="paragraph" w:styleId="a4">
    <w:name w:val="footer"/>
    <w:basedOn w:val="a"/>
    <w:link w:val="Char0"/>
    <w:uiPriority w:val="99"/>
    <w:semiHidden/>
    <w:unhideWhenUsed/>
    <w:rsid w:val="003853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853B7"/>
    <w:rPr>
      <w:rFonts w:ascii="Calibri" w:eastAsia="宋体" w:hAnsi="Calibri" w:cs="Times New Roman"/>
      <w:sz w:val="18"/>
      <w:szCs w:val="18"/>
    </w:rPr>
  </w:style>
  <w:style w:type="paragraph" w:styleId="a5">
    <w:name w:val="Balloon Text"/>
    <w:basedOn w:val="a"/>
    <w:link w:val="Char1"/>
    <w:uiPriority w:val="99"/>
    <w:semiHidden/>
    <w:unhideWhenUsed/>
    <w:rsid w:val="003853B7"/>
    <w:rPr>
      <w:sz w:val="18"/>
      <w:szCs w:val="18"/>
    </w:rPr>
  </w:style>
  <w:style w:type="character" w:customStyle="1" w:styleId="Char1">
    <w:name w:val="批注框文本 Char"/>
    <w:basedOn w:val="a0"/>
    <w:link w:val="a5"/>
    <w:uiPriority w:val="99"/>
    <w:semiHidden/>
    <w:rsid w:val="003853B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2024-08-27T09:33:00Z</cp:lastPrinted>
  <dcterms:created xsi:type="dcterms:W3CDTF">2024-08-27T07:11:00Z</dcterms:created>
  <dcterms:modified xsi:type="dcterms:W3CDTF">2024-08-27T09:35:00Z</dcterms:modified>
</cp:coreProperties>
</file>