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常宁市2025年省级优势家禽产业集群项目备案审查申报表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项目实施主体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：（盖章）</w:t>
      </w:r>
    </w:p>
    <w:tbl>
      <w:tblPr>
        <w:tblStyle w:val="4"/>
        <w:tblW w:w="91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02"/>
        <w:gridCol w:w="1905"/>
        <w:gridCol w:w="1428"/>
        <w:gridCol w:w="2796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8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资产负债率（%）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2023-2024年平均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是否进2025年常宁市巩固拓展脱贫攻坚成果和乡村振兴项目库中</w:t>
            </w:r>
          </w:p>
        </w:tc>
        <w:tc>
          <w:tcPr>
            <w:tcW w:w="1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2023-2024年平均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利润（万元）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主体性质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是否制定联农带农机制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9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主导产业名称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（养殖、加工、屠宰、冷链物流等）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联农带农模式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订单、托管、入股分红、土地流转、务工就业、产业融合等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产业规模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2024年带动农户人数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近三年（2023年至今）未发生重大农业环境污染事件、重大农产品质量安全事件、重大安全生产责任事故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其中带动脱贫户、监测户人数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8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是否被列入失信被执行人名单或重大税收违法案件当事人名单。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近三年（2023年至今）是否得到过财政支持（有注明具体金额）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19" w:hRule="exact"/>
          <w:jc w:val="center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申报主体主要情况介绍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（重点描述联农带农的主要做法及成效，300字以内，可以另页。）</w:t>
            </w:r>
          </w:p>
        </w:tc>
        <w:tc>
          <w:tcPr>
            <w:tcW w:w="7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备注：1、帮扶模式栏直接在对应的文字上画“√”，可多选；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0"/>
        <w:textAlignment w:val="auto"/>
      </w:pPr>
      <w:r>
        <w:rPr>
          <w:rFonts w:hint="default" w:ascii="Times New Roman" w:hAnsi="Times New Roman" w:cs="Times New Roman"/>
          <w:lang w:val="en-US" w:eastAsia="zh-CN"/>
        </w:rPr>
        <w:t>主体性质：省市级龙头企业、示范合作社、农业企业、专业合作社、农业社会化服务组织。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5F739"/>
    <w:multiLevelType w:val="singleLevel"/>
    <w:tmpl w:val="A745F73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8769D"/>
    <w:rsid w:val="38B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2025-07-24T09:11:00Z</dcterms:created>
  <dc:creator>Administrator</dc:creator>
  <cp:lastModifiedBy>Administrator</cp:lastModifiedBy>
  <dcterms:modified xsi:type="dcterms:W3CDTF">2025-07-24T09:12:54Z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