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2C1C4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29AB4BA0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2EB81A4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6F7F9A7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5D682E57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常宁市弥泉国有林场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422DE486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66823472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57FB5C9D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FDAFE4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5A2D769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3550E7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9D5ECE5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4F0E717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02C202C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AB5B34F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8D1A7C9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50500F78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常宁市弥泉国有林场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4DDA0BC9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01C84EB7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24011C0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20F6450D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度常宁市弥泉国有林场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5608120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DE5A81B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B33DE3E">
      <w:pPr>
        <w:pStyle w:val="12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37369623">
      <w:pPr>
        <w:snapToGrid w:val="0"/>
        <w:spacing w:line="520" w:lineRule="exact"/>
        <w:ind w:left="426" w:leftChars="152" w:firstLine="321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1．主要职能。</w:t>
      </w:r>
    </w:p>
    <w:p w14:paraId="1ADD2D29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我单位全称为常宁市弥泉国有林场，属公益一类事业单位，现执行政府会计准则制度。</w:t>
      </w:r>
    </w:p>
    <w:p w14:paraId="0E935F6D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1．主要职能。</w:t>
      </w:r>
    </w:p>
    <w:p w14:paraId="752AC9E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1、维护职工合法权益，这是工会基本职能。</w:t>
      </w:r>
    </w:p>
    <w:p w14:paraId="47A81320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2、建设职能，培育和组织职工参加经济建设。</w:t>
      </w:r>
    </w:p>
    <w:p w14:paraId="0D77F970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3、参与职能，发挥职工参政议政职能。</w:t>
      </w:r>
    </w:p>
    <w:p w14:paraId="63837C6A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4、教育职能，帮助职工不断提高思想政治职能。</w:t>
      </w:r>
    </w:p>
    <w:p w14:paraId="04ABEF69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2．机构情况。</w:t>
      </w:r>
    </w:p>
    <w:p w14:paraId="4201BFAB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根据编委核定本单位内设处室4个，所属事业单位0个。其中：内设处室分别是护林管理股、生产经营股、计划财务股，办公室。</w:t>
      </w:r>
    </w:p>
    <w:p w14:paraId="78556840">
      <w:pPr>
        <w:pStyle w:val="6"/>
        <w:numPr>
          <w:ilvl w:val="0"/>
          <w:numId w:val="0"/>
        </w:num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单位2024年实有在职人数96人。</w:t>
      </w:r>
    </w:p>
    <w:p w14:paraId="711C0301">
      <w:pPr>
        <w:pStyle w:val="12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63A7B478">
      <w:pPr>
        <w:pStyle w:val="12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23CFCB25">
      <w:pPr>
        <w:pStyle w:val="11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3A4B01BD">
      <w:pPr>
        <w:pStyle w:val="11"/>
        <w:widowControl/>
        <w:spacing w:line="600" w:lineRule="exact"/>
        <w:ind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ascii="仿宋_GB2312" w:hAnsi="仿宋_GB2312" w:eastAsia="仿宋_GB2312" w:cs="仿宋_GB2312"/>
          <w:bCs/>
          <w:sz w:val="32"/>
          <w:szCs w:val="32"/>
        </w:rPr>
        <w:t>024年度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财政拨款总收入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2581.38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1622.96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958.42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</w:p>
    <w:p w14:paraId="79D54612">
      <w:pPr>
        <w:pStyle w:val="11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3BB5E109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1622.96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459.94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163.02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0FF534DF">
      <w:pPr>
        <w:pStyle w:val="11"/>
        <w:widowControl/>
        <w:spacing w:line="600" w:lineRule="exact"/>
        <w:ind w:firstLine="64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33C92541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958.43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</w:rPr>
        <w:t>具体支出如下表：</w:t>
      </w:r>
    </w:p>
    <w:tbl>
      <w:tblPr>
        <w:tblW w:w="5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6"/>
        <w:gridCol w:w="876"/>
      </w:tblGrid>
      <w:tr w14:paraId="0A21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7368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3C18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15EF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1C89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087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958.43</w:t>
            </w:r>
          </w:p>
        </w:tc>
      </w:tr>
      <w:tr w14:paraId="43A2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68F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记者活动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DF0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61AC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E0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第五次全国经济普查“两员”补贴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F98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</w:tr>
      <w:tr w14:paraId="38EB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8F5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新时代文明实践中心建设项目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20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66A2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08C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2024年各乡镇、办事处优抚对象慰问和解困（弥泉林场）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7B2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</w:tr>
      <w:tr w14:paraId="493E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8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弥泉2024年重点优抚对象“八一”慰问金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0D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</w:tr>
      <w:tr w14:paraId="0B15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2F4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退役军人服务站运行经费（弥泉林场）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47F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1.10</w:t>
            </w:r>
          </w:p>
        </w:tc>
      </w:tr>
      <w:tr w14:paraId="7E68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E5E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国有林场体制改革及遗留问题处理资金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AE0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236.00</w:t>
            </w:r>
          </w:p>
        </w:tc>
      </w:tr>
      <w:tr w14:paraId="5F24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77E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2024年农村人居环境整治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1D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14.75</w:t>
            </w:r>
          </w:p>
        </w:tc>
      </w:tr>
      <w:tr w14:paraId="28CA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EC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2021年重点区域生态保护和修复专项中央预算内基建资金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341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149.35</w:t>
            </w:r>
          </w:p>
        </w:tc>
      </w:tr>
      <w:tr w14:paraId="2861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4F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农村财务审计及会计业务培训工作经费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304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</w:tr>
      <w:tr w14:paraId="198C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A2F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2023年困难乡镇补助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62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6EDD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73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2024年乡镇补助经费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27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</w:tr>
      <w:tr w14:paraId="71C1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894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农业保险工作经费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ED4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</w:tr>
      <w:tr w14:paraId="7920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CD1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2022年省级森林生态效益补偿基金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263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19.94</w:t>
            </w:r>
          </w:p>
        </w:tc>
      </w:tr>
      <w:tr w14:paraId="1AF1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47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从乡村振兴战略及扶贫专项资金中安排乡村振兴衔接资金（民生项目）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72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4AE7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6B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2024年和美乡村（更生村）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BF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38E4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71F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第四季度村级运转支出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F0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7.07</w:t>
            </w:r>
          </w:p>
        </w:tc>
      </w:tr>
      <w:tr w14:paraId="55C1C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A72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村级转移支付第二、第三季度资金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4D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8.71</w:t>
            </w:r>
          </w:p>
        </w:tc>
      </w:tr>
      <w:tr w14:paraId="3B69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E2B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2024年村级补助及村级服务群众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67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7.07</w:t>
            </w:r>
          </w:p>
        </w:tc>
      </w:tr>
      <w:tr w14:paraId="4D85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1B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2024年第二季度村级运转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CA1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7.07</w:t>
            </w:r>
          </w:p>
        </w:tc>
      </w:tr>
      <w:tr w14:paraId="0082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96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国有林场体制改革补贴及遗留问题处理资金.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EF8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40.10</w:t>
            </w:r>
          </w:p>
        </w:tc>
      </w:tr>
      <w:tr w14:paraId="7932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4E8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国有林场体制改革补贴及遗留问题处理资金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B3E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116.20</w:t>
            </w:r>
          </w:p>
        </w:tc>
      </w:tr>
      <w:tr w14:paraId="51D7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74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国有林场体制改革及遗留问题处理资金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D0F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249.00</w:t>
            </w:r>
          </w:p>
        </w:tc>
      </w:tr>
      <w:tr w14:paraId="03BC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734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2022年中央自然灾害救灾资金（干旱灾害双河村）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8D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</w:tr>
      <w:tr w14:paraId="2E1D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4C9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2022年中央自然灾害救灾资金（地质灾害更生村）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AB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</w:tr>
      <w:tr w14:paraId="18D2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207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2023年生态保护和修复支撑体系专项（第一批）中央预算内基建资金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11F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</w:tbl>
    <w:p w14:paraId="6777630C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49ECAD6A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2B012644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2BBE10DC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1B0252AB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6万元，主要为2022年度双河村市级分成体有彩票公益金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F97563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2491105D">
      <w:pPr>
        <w:pStyle w:val="11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CA07829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716110B3">
      <w:pPr>
        <w:pStyle w:val="12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1CA1A87A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19787B99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1、加强生态公益林管护队伍建设。将林场职工管护责任落实到每个山头，建立林长制，订立《护林员考核制度》，以制度促管理，夯实护林员工作责任心，确保国有林地资源不受侵害。</w:t>
      </w:r>
    </w:p>
    <w:p w14:paraId="15EE9D26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森林防火进一步加强。森林防火是我场重中之重的工作，我们时刻紧绷这根弦不放松：一是强化责任担当，狠抓工作落实。制定防火应急预案，层层签订责任状，将森林防火与目标管理考核有机结合，任务明确到林区山头和地块，形成了层层负责、上下联动、通力协作的工作体系。在春节、清明重点节点，森林防火扑救队伍始终保持应急备勤状态，并进行常态化的检查，发现问题及时整改。二是加强宣传教育，增强保护意识。截至7月份共发放宣传单300余份，张贴防火戒严令200余份，粉刷宣传标语60余条（块），悬挂宣传横幅20条，出动车辆宣传百余次，走村入户宣传，为重点区域护林员配备便携式扩音器进行流动式宣传，及时提醒村民、游客注意森林防火、安全用火，营造了森林防火人人有责的良好氛围。三是注重日常防范，严格火源管理。不断强化岗位值班及巡查监控等防范措施，在节假日和特护期，对重要部位严防死守，确保了重要时间节点的森林防火工作安全。</w:t>
      </w:r>
    </w:p>
    <w:p w14:paraId="63ED5908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营林生产工作稳步推进。一是抓实2023年度欧投项目补植补造工作，累计完成2023年欧投项目4440亩的补植补造工作。二是完成2024年欧投项目的招标采购和签约工作，严按招投标程序，于5月中旬完成总计3037.5亩的招标采购任务，并在公示期满后，如期签约。三是优化营商环境，切实做好林业项目属地服务工作。为常宁市林业局的重点工程项目建设保驾护航。四是管护站房建设项目顺利推进，已完成宿舍楼的顶棚翻新、防水和门窗更换、卫生间的改造。</w:t>
      </w:r>
    </w:p>
    <w:p w14:paraId="036AE51C"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7A13F6B"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1" w:name="_GoBack"/>
      <w:bookmarkEnd w:id="1"/>
    </w:p>
    <w:p w14:paraId="1B06DE2B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5850F6D2">
      <w:pPr>
        <w:pStyle w:val="12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4600E098">
      <w:pPr>
        <w:pStyle w:val="12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1E41A0E4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09F66643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6DF985E7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3ADA0478">
      <w:pPr>
        <w:pStyle w:val="12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706A5D77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15FD774D">
      <w:pPr>
        <w:pStyle w:val="12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2A413A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2312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132A3C7E"/>
    <w:rsid w:val="2FC201DD"/>
    <w:rsid w:val="336F1247"/>
    <w:rsid w:val="3E88226F"/>
    <w:rsid w:val="48C4659A"/>
    <w:rsid w:val="5201421E"/>
    <w:rsid w:val="5A362709"/>
    <w:rsid w:val="665B3FAE"/>
    <w:rsid w:val="753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正文首行缩进1"/>
    <w:basedOn w:val="1"/>
    <w:qFormat/>
    <w:uiPriority w:val="0"/>
    <w:pPr>
      <w:spacing w:after="120"/>
      <w:ind w:firstLine="420" w:firstLineChars="100"/>
    </w:pPr>
    <w:rPr>
      <w:szCs w:val="2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spacing w:line="600" w:lineRule="exact"/>
      <w:ind w:firstLine="200" w:firstLineChars="200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paragraph" w:customStyle="1" w:styleId="11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959</Words>
  <Characters>1076</Characters>
  <Lines>16</Lines>
  <Paragraphs>4</Paragraphs>
  <TotalTime>0</TotalTime>
  <ScaleCrop>false</ScaleCrop>
  <LinksUpToDate>false</LinksUpToDate>
  <CharactersWithSpaces>1099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一凡®</cp:lastModifiedBy>
  <dcterms:modified xsi:type="dcterms:W3CDTF">2025-04-10T02:38:23Z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62F59A221BFB4BE0BBA825BBFE05F8E8_12</vt:lpwstr>
  </property>
</Properties>
</file>