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0553">
      <w:pPr>
        <w:pStyle w:val="2"/>
        <w:spacing w:before="0" w:after="0" w:line="579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湖南天堂山国家森林公园管理处</w:t>
      </w:r>
    </w:p>
    <w:p w14:paraId="50D4B4E2">
      <w:pPr>
        <w:pStyle w:val="2"/>
        <w:spacing w:before="0" w:after="0" w:line="579" w:lineRule="auto"/>
        <w:jc w:val="center"/>
        <w:rPr>
          <w:rFonts w:asciiTheme="majorEastAsia" w:hAnsiTheme="majorEastAsia" w:eastAsiaTheme="majorEastAsia"/>
        </w:rPr>
      </w:pPr>
      <w:r>
        <w:rPr>
          <w:rFonts w:hint="default" w:ascii="黑体" w:hAnsi="黑体" w:eastAsia="黑体"/>
          <w:lang w:val="en-US"/>
        </w:rPr>
        <w:t>2024</w:t>
      </w:r>
      <w:r>
        <w:rPr>
          <w:rFonts w:hint="eastAsia" w:ascii="黑体" w:hAnsi="黑体" w:eastAsia="黑体"/>
          <w:lang w:val="en-US" w:eastAsia="zh-CN"/>
        </w:rPr>
        <w:t>年部门整体</w:t>
      </w:r>
      <w:r>
        <w:rPr>
          <w:rFonts w:hint="eastAsia" w:ascii="黑体" w:hAnsi="黑体" w:eastAsia="黑体"/>
        </w:rPr>
        <w:t>支出绩效评</w:t>
      </w:r>
      <w:r>
        <w:rPr>
          <w:rFonts w:hint="eastAsia" w:ascii="黑体" w:hAnsi="黑体" w:eastAsia="黑体"/>
          <w:lang w:eastAsia="zh-CN"/>
        </w:rPr>
        <w:t>价</w:t>
      </w:r>
      <w:r>
        <w:rPr>
          <w:rFonts w:hint="eastAsia" w:ascii="黑体" w:hAnsi="黑体" w:eastAsia="黑体"/>
        </w:rPr>
        <w:t>报告</w:t>
      </w:r>
    </w:p>
    <w:p w14:paraId="5FF850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9E7B22">
      <w:pPr>
        <w:ind w:firstLine="63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全面实施预算绩效管理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进一步加强财政支出管理</w:t>
      </w:r>
      <w:r>
        <w:rPr>
          <w:rFonts w:hint="eastAsia" w:ascii="仿宋" w:hAnsi="仿宋" w:eastAsia="仿宋" w:cs="仿宋"/>
          <w:sz w:val="30"/>
          <w:szCs w:val="30"/>
        </w:rPr>
        <w:t>，切实提高财政资金使用效益和管理水平，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根据</w:t>
      </w:r>
      <w:r>
        <w:rPr>
          <w:rFonts w:hint="eastAsia" w:ascii="仿宋" w:hAnsi="仿宋" w:eastAsia="仿宋" w:cs="仿宋"/>
          <w:sz w:val="30"/>
          <w:szCs w:val="30"/>
        </w:rPr>
        <w:t>《中华人民共和国预算法》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、《中共衡阳市委办公室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衡阳市人民政府关于印发〈衡阳市预算绩效管理实施办法〉的通知》（衡办发〔2021〕13号）等相关法律法规和财政规章制度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按照《常宁市财政局关于开展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2024年度预算支出绩效自评工作的通知》（常财绩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号）的要求，湖南天堂山国家森林公园</w:t>
      </w:r>
      <w:r>
        <w:rPr>
          <w:rFonts w:hint="eastAsia" w:ascii="仿宋" w:hAnsi="仿宋" w:eastAsia="仿宋" w:cs="仿宋"/>
          <w:sz w:val="30"/>
          <w:szCs w:val="30"/>
        </w:rPr>
        <w:t>管理处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2024年部门整体支出实施绩效评价。</w:t>
      </w:r>
    </w:p>
    <w:p w14:paraId="62080B81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　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一、部门、单位基本情况</w:t>
      </w:r>
    </w:p>
    <w:p w14:paraId="37E8DF6C">
      <w:pPr>
        <w:ind w:firstLine="63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 部门概述</w:t>
      </w:r>
    </w:p>
    <w:p w14:paraId="3D9F73DD">
      <w:pPr>
        <w:ind w:firstLine="63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湖南天堂山国家森林公园管理处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（以下简称“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”）是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常宁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市人民政府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直属副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处级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事业单位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，其主要职能职责包括宣传、贯彻、执行国家、省有关林业、森林公园管理的法律、法规和政策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，保护森林公园内森林风景资源和生物多样性，组织开展森林生态旅游，负责森林公园内的森林防火工作等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 w14:paraId="34F5C0B5">
      <w:pPr>
        <w:ind w:firstLine="63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 机构设置</w:t>
      </w:r>
    </w:p>
    <w:p w14:paraId="770C5361">
      <w:pPr>
        <w:ind w:firstLine="63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管理处内设机构包括综合科、经营管理科、资源保护科、资产管理科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四个科室，下设机构包括九龙塔、铜钟岭、印山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3个管理所和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常宁市</w:t>
      </w:r>
      <w:r>
        <w:rPr>
          <w:rFonts w:hint="eastAsia" w:ascii="仿宋" w:hAnsi="仿宋" w:eastAsia="仿宋" w:cs="仿宋"/>
          <w:sz w:val="30"/>
          <w:szCs w:val="30"/>
        </w:rPr>
        <w:t>弥泉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国有</w:t>
      </w:r>
      <w:r>
        <w:rPr>
          <w:rFonts w:hint="eastAsia" w:ascii="仿宋" w:hAnsi="仿宋" w:eastAsia="仿宋" w:cs="仿宋"/>
          <w:sz w:val="30"/>
          <w:szCs w:val="30"/>
        </w:rPr>
        <w:t>林场及印山天堂山西江风景名胜区管理办公室。</w:t>
      </w:r>
    </w:p>
    <w:p w14:paraId="6757D27F">
      <w:pPr>
        <w:ind w:firstLine="63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 人员情况</w:t>
      </w:r>
    </w:p>
    <w:p w14:paraId="2C074E53">
      <w:pPr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根据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的“三定方案”人员编制要求，核定人员编制为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人。截至 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年 12 月 31 日，实际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编制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3人，人员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控制率为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82.5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%。</w:t>
      </w:r>
    </w:p>
    <w:p w14:paraId="647AF642"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二、一般公共预算支出情况</w:t>
      </w:r>
    </w:p>
    <w:p w14:paraId="7C447927">
      <w:pPr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全年支出预算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531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万元。决算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657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万元，预决算偏差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万元，偏差度2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%。其中财政拨款指标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641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万元，实际支出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541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万元，预算执行率8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%。</w:t>
      </w:r>
    </w:p>
    <w:p w14:paraId="155FF5C5"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（一） 基本支出情况</w:t>
      </w:r>
    </w:p>
    <w:p w14:paraId="09C7D9B1">
      <w:pPr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基本支出年初预算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457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万元，全年决算数为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428.86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万元，其中：人员经费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352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万元，公用经费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76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万元。</w:t>
      </w:r>
    </w:p>
    <w:p w14:paraId="5B9DE5F6"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（二） 项目支出情况</w:t>
      </w:r>
    </w:p>
    <w:p w14:paraId="0349B6B7">
      <w:pPr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项目支出年初预算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万元，其中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森林保护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森林旅游推广、安全与维护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万元。根据部门年度工作任务，项目支出调整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258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万元，实际支出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228.34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万元，预算执行率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%，涉及 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个项目（详见表 1）。</w:t>
      </w:r>
    </w:p>
    <w:p w14:paraId="54FC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205C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630B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051D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3F9C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湖南天堂山国家森林公园管理处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年项目支出明细表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605"/>
        <w:gridCol w:w="1455"/>
        <w:gridCol w:w="1778"/>
      </w:tblGrid>
      <w:tr w14:paraId="5E6E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</w:tcPr>
          <w:p w14:paraId="738D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项目名称</w:t>
            </w:r>
          </w:p>
        </w:tc>
        <w:tc>
          <w:tcPr>
            <w:tcW w:w="1605" w:type="dxa"/>
          </w:tcPr>
          <w:p w14:paraId="26DC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预算金额</w:t>
            </w:r>
          </w:p>
          <w:p w14:paraId="76A3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（万元）</w:t>
            </w:r>
          </w:p>
        </w:tc>
        <w:tc>
          <w:tcPr>
            <w:tcW w:w="1455" w:type="dxa"/>
          </w:tcPr>
          <w:p w14:paraId="0C77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支付金额</w:t>
            </w:r>
          </w:p>
          <w:p w14:paraId="271A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（万元）</w:t>
            </w:r>
          </w:p>
        </w:tc>
        <w:tc>
          <w:tcPr>
            <w:tcW w:w="1778" w:type="dxa"/>
          </w:tcPr>
          <w:p w14:paraId="00864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项目预算执</w:t>
            </w:r>
          </w:p>
          <w:p w14:paraId="421D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行率（%）</w:t>
            </w:r>
          </w:p>
        </w:tc>
      </w:tr>
      <w:tr w14:paraId="7D64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  <w:vAlign w:val="center"/>
          </w:tcPr>
          <w:p w14:paraId="37A6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欧投项目专款</w:t>
            </w:r>
          </w:p>
        </w:tc>
        <w:tc>
          <w:tcPr>
            <w:tcW w:w="1605" w:type="dxa"/>
          </w:tcPr>
          <w:p w14:paraId="1FB2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</w:tcPr>
          <w:p w14:paraId="517D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110.74</w:t>
            </w:r>
          </w:p>
        </w:tc>
        <w:tc>
          <w:tcPr>
            <w:tcW w:w="1778" w:type="dxa"/>
          </w:tcPr>
          <w:p w14:paraId="5928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%</w:t>
            </w:r>
          </w:p>
        </w:tc>
      </w:tr>
      <w:tr w14:paraId="31B9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  <w:vAlign w:val="center"/>
          </w:tcPr>
          <w:p w14:paraId="7D3C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森林保护</w:t>
            </w:r>
          </w:p>
        </w:tc>
        <w:tc>
          <w:tcPr>
            <w:tcW w:w="1605" w:type="dxa"/>
          </w:tcPr>
          <w:p w14:paraId="56F2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455" w:type="dxa"/>
          </w:tcPr>
          <w:p w14:paraId="0874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778" w:type="dxa"/>
          </w:tcPr>
          <w:p w14:paraId="0B57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100%</w:t>
            </w:r>
          </w:p>
        </w:tc>
      </w:tr>
      <w:tr w14:paraId="37C6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  <w:vAlign w:val="center"/>
          </w:tcPr>
          <w:p w14:paraId="2DEB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其他专项资金</w:t>
            </w:r>
          </w:p>
        </w:tc>
        <w:tc>
          <w:tcPr>
            <w:tcW w:w="1605" w:type="dxa"/>
            <w:vAlign w:val="center"/>
          </w:tcPr>
          <w:p w14:paraId="7B7A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122.</w:t>
            </w: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 w14:paraId="209C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92.6</w:t>
            </w:r>
          </w:p>
        </w:tc>
        <w:tc>
          <w:tcPr>
            <w:tcW w:w="1778" w:type="dxa"/>
            <w:vAlign w:val="center"/>
          </w:tcPr>
          <w:p w14:paraId="160E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5.47%</w:t>
            </w:r>
          </w:p>
        </w:tc>
      </w:tr>
      <w:tr w14:paraId="00DF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4" w:type="dxa"/>
          </w:tcPr>
          <w:p w14:paraId="08CB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合计</w:t>
            </w:r>
          </w:p>
        </w:tc>
        <w:tc>
          <w:tcPr>
            <w:tcW w:w="1605" w:type="dxa"/>
          </w:tcPr>
          <w:p w14:paraId="14BC3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258.44</w:t>
            </w:r>
          </w:p>
        </w:tc>
        <w:tc>
          <w:tcPr>
            <w:tcW w:w="1455" w:type="dxa"/>
          </w:tcPr>
          <w:p w14:paraId="1713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228.34</w:t>
            </w:r>
          </w:p>
        </w:tc>
        <w:tc>
          <w:tcPr>
            <w:tcW w:w="1778" w:type="dxa"/>
          </w:tcPr>
          <w:p w14:paraId="3D84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88.35%</w:t>
            </w:r>
          </w:p>
        </w:tc>
      </w:tr>
    </w:tbl>
    <w:p w14:paraId="7167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59CA2948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（三） “三公”经费使用和管理情况</w:t>
      </w:r>
    </w:p>
    <w:p w14:paraId="3EC60030">
      <w:pPr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管理处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年年初安排三公经费预算数为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10.7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万元，截至202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年12月31日，实际支出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9.65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万元，三公经费执行率为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%（详见表 2）。</w:t>
      </w:r>
    </w:p>
    <w:p w14:paraId="34FC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湖南天堂山国家森林公园管理处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经费明细表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055"/>
        <w:gridCol w:w="2085"/>
        <w:gridCol w:w="1073"/>
      </w:tblGrid>
      <w:tr w14:paraId="4AE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  <w:vAlign w:val="center"/>
          </w:tcPr>
          <w:p w14:paraId="626A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三公经费支出内容</w:t>
            </w:r>
          </w:p>
        </w:tc>
        <w:tc>
          <w:tcPr>
            <w:tcW w:w="2055" w:type="dxa"/>
          </w:tcPr>
          <w:p w14:paraId="3CDF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年预算数</w:t>
            </w:r>
          </w:p>
          <w:p w14:paraId="6C55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2085" w:type="dxa"/>
          </w:tcPr>
          <w:p w14:paraId="238B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年执行数</w:t>
            </w:r>
          </w:p>
          <w:p w14:paraId="4257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073" w:type="dxa"/>
          </w:tcPr>
          <w:p w14:paraId="2DFC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执行率</w:t>
            </w:r>
          </w:p>
          <w:p w14:paraId="52F9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（%）</w:t>
            </w:r>
          </w:p>
        </w:tc>
      </w:tr>
      <w:tr w14:paraId="38C5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  <w:vAlign w:val="center"/>
          </w:tcPr>
          <w:p w14:paraId="7CCD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公务接待费</w:t>
            </w:r>
          </w:p>
        </w:tc>
        <w:tc>
          <w:tcPr>
            <w:tcW w:w="2055" w:type="dxa"/>
          </w:tcPr>
          <w:p w14:paraId="33D2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4.99</w:t>
            </w:r>
          </w:p>
        </w:tc>
        <w:tc>
          <w:tcPr>
            <w:tcW w:w="2085" w:type="dxa"/>
          </w:tcPr>
          <w:p w14:paraId="2AF6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4.99</w:t>
            </w:r>
          </w:p>
        </w:tc>
        <w:tc>
          <w:tcPr>
            <w:tcW w:w="1073" w:type="dxa"/>
          </w:tcPr>
          <w:p w14:paraId="7DF2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100.0%</w:t>
            </w:r>
          </w:p>
        </w:tc>
      </w:tr>
      <w:tr w14:paraId="649F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  <w:vAlign w:val="center"/>
          </w:tcPr>
          <w:p w14:paraId="0C52C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因公出国(境)费</w:t>
            </w:r>
          </w:p>
        </w:tc>
        <w:tc>
          <w:tcPr>
            <w:tcW w:w="2055" w:type="dxa"/>
          </w:tcPr>
          <w:p w14:paraId="1AD6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085" w:type="dxa"/>
          </w:tcPr>
          <w:p w14:paraId="6D2D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73" w:type="dxa"/>
          </w:tcPr>
          <w:p w14:paraId="3463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769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  <w:vAlign w:val="center"/>
          </w:tcPr>
          <w:p w14:paraId="5D2D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公务用车购置及运行费</w:t>
            </w:r>
          </w:p>
        </w:tc>
        <w:tc>
          <w:tcPr>
            <w:tcW w:w="2055" w:type="dxa"/>
          </w:tcPr>
          <w:p w14:paraId="79C9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2085" w:type="dxa"/>
          </w:tcPr>
          <w:p w14:paraId="7EBF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1073" w:type="dxa"/>
          </w:tcPr>
          <w:p w14:paraId="2995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100.0%</w:t>
            </w:r>
          </w:p>
        </w:tc>
      </w:tr>
      <w:tr w14:paraId="1B8F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 w14:paraId="7887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合计</w:t>
            </w:r>
          </w:p>
        </w:tc>
        <w:tc>
          <w:tcPr>
            <w:tcW w:w="2055" w:type="dxa"/>
          </w:tcPr>
          <w:p w14:paraId="204D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10.69</w:t>
            </w:r>
          </w:p>
        </w:tc>
        <w:tc>
          <w:tcPr>
            <w:tcW w:w="2085" w:type="dxa"/>
          </w:tcPr>
          <w:p w14:paraId="40A2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10.69</w:t>
            </w:r>
          </w:p>
        </w:tc>
        <w:tc>
          <w:tcPr>
            <w:tcW w:w="1073" w:type="dxa"/>
          </w:tcPr>
          <w:p w14:paraId="1A39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100.0%</w:t>
            </w:r>
          </w:p>
        </w:tc>
      </w:tr>
    </w:tbl>
    <w:p w14:paraId="349F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5C47679A">
      <w:pPr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三、部门整体支出绩效情况</w:t>
      </w:r>
    </w:p>
    <w:p w14:paraId="14FBBAD4"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管理处通过财政项目资金的实施，全面完成了单位工作年度绩效目标：一是通过项目实施将园区森林旅游基础设施建设得到改善，增加园区游客量，增加旅游收入。主要完成天堂山游步道、盐茶古道、印山景区、九龙塔景区、弥泉景区标识标牌建设；完成部分环保公厕建设，并配置一定数量的垃圾箱（桶）；完成智慧旅游平台建设；完成盐茶古道森林康养基础设施修缮和修复工作。随着基础设施逐步完善，到森林公园开展徒步、休闲、爬山、亲水等森林旅游活动逐渐增多。二是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欧洲投资银行湖南森林提质增效示范项目的实施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在园区</w:t>
      </w:r>
      <w:r>
        <w:rPr>
          <w:rFonts w:hint="eastAsia" w:ascii="仿宋" w:hAnsi="仿宋" w:eastAsia="仿宋" w:cs="仿宋"/>
          <w:sz w:val="30"/>
          <w:szCs w:val="30"/>
        </w:rPr>
        <w:t>形成丰富的森林景观效果。通过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新造和</w:t>
      </w:r>
      <w:r>
        <w:rPr>
          <w:rFonts w:hint="eastAsia" w:ascii="仿宋" w:hAnsi="仿宋" w:eastAsia="仿宋" w:cs="仿宋"/>
          <w:sz w:val="30"/>
          <w:szCs w:val="30"/>
        </w:rPr>
        <w:t>补植景区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红榉</w:t>
      </w:r>
      <w:r>
        <w:rPr>
          <w:rFonts w:hint="eastAsia" w:ascii="仿宋" w:hAnsi="仿宋" w:eastAsia="仿宋" w:cs="仿宋"/>
          <w:sz w:val="30"/>
          <w:szCs w:val="30"/>
        </w:rPr>
        <w:t>、红稠、楠木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等珍稀阔叶树种</w:t>
      </w:r>
      <w:r>
        <w:rPr>
          <w:rFonts w:hint="eastAsia" w:ascii="仿宋" w:hAnsi="仿宋" w:eastAsia="仿宋" w:cs="仿宋"/>
          <w:sz w:val="30"/>
          <w:szCs w:val="30"/>
        </w:rPr>
        <w:t>，完成欧洲银行贷款湖南森林提质增效项目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596.4 公顷</w:t>
      </w:r>
      <w:r>
        <w:rPr>
          <w:rFonts w:hint="eastAsia" w:ascii="仿宋" w:hAnsi="仿宋" w:eastAsia="仿宋" w:cs="仿宋"/>
          <w:sz w:val="30"/>
          <w:szCs w:val="30"/>
        </w:rPr>
        <w:t>，对园区</w:t>
      </w:r>
      <w:r>
        <w:rPr>
          <w:rFonts w:hint="default" w:ascii="仿宋" w:hAnsi="仿宋" w:eastAsia="仿宋" w:cs="仿宋"/>
          <w:sz w:val="30"/>
          <w:szCs w:val="30"/>
          <w:lang w:val="en-US"/>
        </w:rPr>
        <w:t>720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公顷</w:t>
      </w:r>
      <w:r>
        <w:rPr>
          <w:rFonts w:hint="eastAsia" w:ascii="仿宋" w:hAnsi="仿宋" w:eastAsia="仿宋" w:cs="仿宋"/>
          <w:sz w:val="30"/>
          <w:szCs w:val="30"/>
        </w:rPr>
        <w:t>杉木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、竹</w:t>
      </w:r>
      <w:r>
        <w:rPr>
          <w:rFonts w:hint="eastAsia" w:ascii="仿宋" w:hAnsi="仿宋" w:eastAsia="仿宋" w:cs="仿宋"/>
          <w:sz w:val="30"/>
          <w:szCs w:val="30"/>
        </w:rPr>
        <w:t>林进行抚育，提升了园区整体森林质量，增强了林相景观效果。三是以旅游产业为龙头，带动园区农民致富。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结合乡村振兴，利用国家级森林康养试点基地建设，大力发展双河及塔山村的民宿产业，丰富旅游产品，振兴地方产业</w:t>
      </w:r>
      <w:r>
        <w:rPr>
          <w:rFonts w:hint="eastAsia" w:ascii="仿宋" w:hAnsi="仿宋" w:eastAsia="仿宋" w:cs="仿宋"/>
          <w:sz w:val="30"/>
          <w:szCs w:val="30"/>
        </w:rPr>
        <w:t>。四是组织开展森林生态旅游管理活动，特别是在观杜鹃花和油茶旅游文化节活动中，积极开展旅游安全维护值班和巡查，有效制止旅游期间游客乱采乱挖和乱丢垃圾等不文明现象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。五</w:t>
      </w:r>
      <w:r>
        <w:rPr>
          <w:rFonts w:hint="eastAsia" w:ascii="仿宋" w:hAnsi="仿宋" w:eastAsia="仿宋" w:cs="仿宋"/>
          <w:sz w:val="30"/>
          <w:szCs w:val="30"/>
        </w:rPr>
        <w:t>是持续开展森林防火工作，全年森林防火期内，24小时安排森林防火值班巡逻，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全年园区无一例森林火灾发生。六</w:t>
      </w:r>
      <w:r>
        <w:rPr>
          <w:rFonts w:hint="eastAsia" w:ascii="仿宋" w:hAnsi="仿宋" w:eastAsia="仿宋" w:cs="仿宋"/>
          <w:sz w:val="30"/>
          <w:szCs w:val="30"/>
        </w:rPr>
        <w:t>是有效开展林地整治活动，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加强</w:t>
      </w:r>
      <w:r>
        <w:rPr>
          <w:rFonts w:hint="eastAsia" w:ascii="仿宋" w:hAnsi="仿宋" w:eastAsia="仿宋" w:cs="仿宋"/>
          <w:sz w:val="30"/>
          <w:szCs w:val="30"/>
        </w:rPr>
        <w:t>自然保护地清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理和核查</w:t>
      </w:r>
      <w:r>
        <w:rPr>
          <w:rFonts w:hint="eastAsia" w:ascii="仿宋" w:hAnsi="仿宋" w:eastAsia="仿宋" w:cs="仿宋"/>
          <w:sz w:val="30"/>
          <w:szCs w:val="30"/>
        </w:rPr>
        <w:t>活动，对园区内违规破坏自然保护地行动进行清理整治，同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时</w:t>
      </w:r>
      <w:r>
        <w:rPr>
          <w:rFonts w:hint="eastAsia" w:ascii="仿宋" w:hAnsi="仿宋" w:eastAsia="仿宋" w:cs="仿宋"/>
          <w:sz w:val="30"/>
          <w:szCs w:val="30"/>
        </w:rPr>
        <w:t>开展保护野生动植物活动，组织放生野生动物，有效地维护了园区生物多样性和现有森林植被。</w:t>
      </w:r>
    </w:p>
    <w:p w14:paraId="2DFA74B1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、存在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问题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及原因分析</w:t>
      </w:r>
    </w:p>
    <w:p w14:paraId="40BF603E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1、园区旅游基础设施仍然落后。森林公园的旅游开发还处于起步阶段，园区内旅游基础设施和旅游服务设施十分落后，政府投入力度不高，招商引资开发旅游难度大。</w:t>
      </w:r>
    </w:p>
    <w:p w14:paraId="29C703A5"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2、公园管理有待进一步理顺。由于目前我市体制改革尚未完成，管理处与其他自然保护地关系没有完全界定，与相关乡镇及职能部门协调还不够顺畅，多头管理现象仍然十分严重。</w:t>
      </w:r>
    </w:p>
    <w:p w14:paraId="5F9EB898"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机关运行困难。一是机关一般工作人员还未全部到位，导致公园的规划和建设方面进展慢。二是管理处下属的三个管理所和风景办机构已成立，但无人员，相关职能履行难度大。三是单位建设项目支出较大，资金缺口大。</w:t>
      </w:r>
    </w:p>
    <w:p w14:paraId="1BF880D1">
      <w:pPr>
        <w:ind w:firstLine="600"/>
        <w:rPr>
          <w:rFonts w:ascii="仿宋" w:hAnsi="仿宋" w:eastAsia="仿宋" w:cs="仿宋"/>
          <w:sz w:val="30"/>
          <w:szCs w:val="30"/>
        </w:rPr>
      </w:pPr>
    </w:p>
    <w:p w14:paraId="301B98B8">
      <w:pPr>
        <w:ind w:firstLine="63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p w14:paraId="6EA73E40">
      <w:pPr>
        <w:ind w:firstLine="630"/>
        <w:rPr>
          <w:rFonts w:ascii="仿宋" w:hAnsi="仿宋" w:eastAsia="仿宋" w:cs="仿宋"/>
          <w:sz w:val="30"/>
          <w:szCs w:val="30"/>
        </w:rPr>
      </w:pPr>
    </w:p>
    <w:p w14:paraId="61EB75C4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9A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07A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07A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TJlNjVkYjE4ZmZjNDNhNTMwZTJhOTZmNmQwMTAifQ=="/>
  </w:docVars>
  <w:rsids>
    <w:rsidRoot w:val="32DB622A"/>
    <w:rsid w:val="00053BFC"/>
    <w:rsid w:val="002239AB"/>
    <w:rsid w:val="0023013D"/>
    <w:rsid w:val="003213FA"/>
    <w:rsid w:val="00367910"/>
    <w:rsid w:val="00384C18"/>
    <w:rsid w:val="00415EF1"/>
    <w:rsid w:val="005F5F8E"/>
    <w:rsid w:val="005F6741"/>
    <w:rsid w:val="006C6347"/>
    <w:rsid w:val="006F146E"/>
    <w:rsid w:val="006F57E7"/>
    <w:rsid w:val="00956EC4"/>
    <w:rsid w:val="00AB5B41"/>
    <w:rsid w:val="00B074BF"/>
    <w:rsid w:val="00B556DD"/>
    <w:rsid w:val="00E10DCB"/>
    <w:rsid w:val="00F42D09"/>
    <w:rsid w:val="00FD069D"/>
    <w:rsid w:val="00FD579F"/>
    <w:rsid w:val="05A056BD"/>
    <w:rsid w:val="09736C45"/>
    <w:rsid w:val="0AD43C9B"/>
    <w:rsid w:val="0B552976"/>
    <w:rsid w:val="10345784"/>
    <w:rsid w:val="107109B2"/>
    <w:rsid w:val="10AB4F16"/>
    <w:rsid w:val="10DF0A40"/>
    <w:rsid w:val="11322B9C"/>
    <w:rsid w:val="11E86CF4"/>
    <w:rsid w:val="14020004"/>
    <w:rsid w:val="146B5431"/>
    <w:rsid w:val="154308D1"/>
    <w:rsid w:val="15FF709D"/>
    <w:rsid w:val="17733A59"/>
    <w:rsid w:val="18407E76"/>
    <w:rsid w:val="1AC90F04"/>
    <w:rsid w:val="1B67385E"/>
    <w:rsid w:val="1CFD65CF"/>
    <w:rsid w:val="1DC24DAA"/>
    <w:rsid w:val="227F4687"/>
    <w:rsid w:val="245B6F27"/>
    <w:rsid w:val="28A46034"/>
    <w:rsid w:val="2B4C5CC5"/>
    <w:rsid w:val="2CDF055D"/>
    <w:rsid w:val="2F4A69F2"/>
    <w:rsid w:val="32DB622A"/>
    <w:rsid w:val="35FA40D6"/>
    <w:rsid w:val="38C62D44"/>
    <w:rsid w:val="41F12821"/>
    <w:rsid w:val="45034F99"/>
    <w:rsid w:val="45D1274E"/>
    <w:rsid w:val="486E07B7"/>
    <w:rsid w:val="4B4E15EB"/>
    <w:rsid w:val="4D613405"/>
    <w:rsid w:val="4ECB7DF9"/>
    <w:rsid w:val="5CF123CB"/>
    <w:rsid w:val="60D552A9"/>
    <w:rsid w:val="62CC7DC3"/>
    <w:rsid w:val="66BF6CE4"/>
    <w:rsid w:val="68713FB5"/>
    <w:rsid w:val="6AA302AD"/>
    <w:rsid w:val="6CB60B4A"/>
    <w:rsid w:val="6E954E4F"/>
    <w:rsid w:val="6EB156F6"/>
    <w:rsid w:val="71CE325E"/>
    <w:rsid w:val="746B71EE"/>
    <w:rsid w:val="789E3913"/>
    <w:rsid w:val="7A251476"/>
    <w:rsid w:val="7A517C83"/>
    <w:rsid w:val="7F2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1941</Words>
  <Characters>2159</Characters>
  <Lines>16</Lines>
  <Paragraphs>4</Paragraphs>
  <TotalTime>3</TotalTime>
  <ScaleCrop>false</ScaleCrop>
  <LinksUpToDate>false</LinksUpToDate>
  <CharactersWithSpaces>2257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2021-10-27T01:28:00Z</dcterms:created>
  <dc:creator>Administrator</dc:creator>
  <cp:lastModifiedBy>茶</cp:lastModifiedBy>
  <cp:lastPrinted>2024-08-28T01:12:00Z</cp:lastPrinted>
  <dcterms:modified xsi:type="dcterms:W3CDTF">2025-08-27T08:08:06Z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84CE7D2B18C94EF996026A4423CEEBA2</vt:lpwstr>
  </property>
  <property fmtid="{D5CDD505-2E9C-101B-9397-08002B2CF9AE}" pid="4" name="KSOTemplateDocerSaveRecord">
    <vt:lpwstr>eyJoZGlkIjoiZThiY2E2YTliZjMwOTk1YTk3ZDQ2NzYyNWY4ODg2ZjkiLCJ1c2VySWQiOiI5NDMxNTQxODAifQ==</vt:lpwstr>
  </property>
</Properties>
</file>