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9F89A">
      <w:pPr>
        <w:widowControl/>
        <w:spacing w:line="240" w:lineRule="auto"/>
        <w:jc w:val="center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Toc10276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第五部分附件 </w:t>
      </w:r>
      <w:bookmarkEnd w:id="0"/>
    </w:p>
    <w:p w14:paraId="2E1194AD">
      <w:pPr>
        <w:widowControl/>
        <w:spacing w:line="240" w:lineRule="auto"/>
        <w:jc w:val="center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2024年部门整体支出绩效自评报告</w:t>
      </w:r>
    </w:p>
    <w:p w14:paraId="3C28AB2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E52770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为加强财政预算资金管理，进一步规范预算资金使用，提高财政资金使用效益，我委积极组织，对202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年度本单位整体支出进行了绩效自评，现将具体绩效评价情况报告如下：</w:t>
      </w:r>
    </w:p>
    <w:p w14:paraId="22E5F0C1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一、部门基本情况</w:t>
      </w:r>
    </w:p>
    <w:p w14:paraId="2A79ADF3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1.部门职责</w:t>
      </w:r>
    </w:p>
    <w:p w14:paraId="199E36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、根据党的路线、方针、政策和市委的部署，统一全市政法部门的思想和行动。对一定时期内的政法工作作出全局性部署，并督促贯彻落实。</w:t>
      </w:r>
    </w:p>
    <w:p w14:paraId="7E1147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2、组织、协调、指导维护社会稳定工作，必要时直接参与影响的重大群体性事件的处置。</w:t>
      </w:r>
    </w:p>
    <w:p w14:paraId="51ECE4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3、检查政法部门执行法律法规和党的方针政策的情况，结合实际研究制订严肃执法，落实党的方针政策的具体措施。</w:t>
      </w:r>
    </w:p>
    <w:p w14:paraId="43D93A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4、支持和监督政法各部门依法行使职权，指导和协调政法各部门在依法相互制约的同时密切配合，督促推动大案要案的查处工作，研究、协调有争议的重大、疑难案件。</w:t>
      </w:r>
    </w:p>
    <w:p w14:paraId="7221DF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5、组织、协调社会治安综合治理工作，推动社会治安综合治理各项措施的落实。</w:t>
      </w:r>
    </w:p>
    <w:p w14:paraId="3A9093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6、组织、推动政法战线的调查研究工作，改革和加强政法工作。</w:t>
      </w:r>
    </w:p>
    <w:p w14:paraId="26B716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7、协助党委及其部门管理好政法部门的领导班子和政法干部队伍。</w:t>
      </w:r>
    </w:p>
    <w:p w14:paraId="074827E9">
      <w:pPr>
        <w:spacing w:line="560" w:lineRule="exact"/>
        <w:ind w:left="559" w:leftChars="266" w:firstLine="0" w:firstLineChars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8、组织查处政法系统干部、干警中有重大影响的违法乱纪案件。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二、部门整体支出管理及使用情况</w:t>
      </w:r>
    </w:p>
    <w:p w14:paraId="37ACF937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1.部门预算收支情况（含公共财政拨款、政府性基金拨款、纳入专户管理的非税收入拨款及其他资金）及部门决算情况。</w:t>
      </w:r>
    </w:p>
    <w:p w14:paraId="10752B0F">
      <w:pPr>
        <w:spacing w:line="560" w:lineRule="exact"/>
        <w:ind w:firstLine="640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部门决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算数为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910.61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一般公共服务支出686.77万元；公共安全支出41.37万元；社会保障和就业支出163.62万元；卫生健康支出18.35万元；其他支出0.5万元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。</w:t>
      </w:r>
    </w:p>
    <w:p w14:paraId="32B3CA72">
      <w:pPr>
        <w:spacing w:line="560" w:lineRule="exact"/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年度总支出为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910.61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万元，其中：基本支出为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432.48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万元，项目支出为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478.13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万元。</w:t>
      </w:r>
    </w:p>
    <w:p w14:paraId="53AAFC65">
      <w:pPr>
        <w:spacing w:line="560" w:lineRule="exact"/>
        <w:ind w:firstLine="640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年度无基金收支。</w:t>
      </w:r>
    </w:p>
    <w:p w14:paraId="08DC17C7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2.支出分类情况</w:t>
      </w:r>
    </w:p>
    <w:p w14:paraId="27E9D77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（1）基本支出管理情况</w:t>
      </w:r>
    </w:p>
    <w:p w14:paraId="1348ABE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年我委基本支出范围和主要用途包括：人员经费和日常公用经费。具体包括：工资福利支出、商品和服务支出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对个人和家庭的补助支出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资本性支出。</w:t>
      </w:r>
    </w:p>
    <w:p w14:paraId="314D950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基本支出的管理和使用情况如下：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本年度基本支出为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432.48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342.61</w:t>
      </w:r>
      <w:r>
        <w:rPr>
          <w:rFonts w:hint="eastAsia" w:ascii="仿宋" w:hAnsi="仿宋" w:eastAsia="仿宋" w:cs="仿宋"/>
          <w:sz w:val="32"/>
          <w:szCs w:val="32"/>
        </w:rPr>
        <w:t>万元；商品和服务支出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86.78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21890422">
      <w:pPr>
        <w:spacing w:line="560" w:lineRule="exact"/>
        <w:ind w:firstLine="640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专项资金使用情况</w:t>
      </w:r>
    </w:p>
    <w:p w14:paraId="63B4162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年我委专项项目资金为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478.13</w:t>
      </w:r>
      <w:r>
        <w:rPr>
          <w:rFonts w:hint="eastAsia" w:ascii="仿宋" w:hAnsi="仿宋" w:eastAsia="仿宋" w:cs="仿宋"/>
          <w:sz w:val="32"/>
          <w:szCs w:val="32"/>
        </w:rPr>
        <w:t>万元。系保障我委国安办、综治办及扫黑除恶、反邪教防控、维稳处突、民调、平安创建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、社会治理、网格化服务管理</w:t>
      </w:r>
      <w:r>
        <w:rPr>
          <w:rFonts w:hint="eastAsia" w:ascii="仿宋" w:hAnsi="仿宋" w:eastAsia="仿宋" w:cs="仿宋"/>
          <w:sz w:val="32"/>
          <w:szCs w:val="32"/>
        </w:rPr>
        <w:t>等工作的支出。</w:t>
      </w:r>
    </w:p>
    <w:p w14:paraId="4760FB18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项目支出的使用情况如下：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本年度总支出为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910.61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</w:rPr>
        <w:t>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478.13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，占项目支出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49DBE4B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3.“三公”经费情况</w:t>
      </w:r>
    </w:p>
    <w:p w14:paraId="7C890CC5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我委“三公”经费各费用均控制在预算范围内，且较预算金额有不同程度的结余（其中：因公出国出境费用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和公务用车购置及运行维护费</w:t>
      </w:r>
      <w:r>
        <w:rPr>
          <w:rFonts w:hint="eastAsia" w:ascii="仿宋" w:hAnsi="仿宋" w:eastAsia="仿宋" w:cs="仿宋"/>
          <w:sz w:val="32"/>
          <w:szCs w:val="32"/>
        </w:rPr>
        <w:t>本年未发生经费支出）。本年“三公”经费各明细项目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均低于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77BE5B1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三、部门整体支出绩效评价情况</w:t>
      </w:r>
    </w:p>
    <w:p w14:paraId="3460279E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年，根据我委年初工作规划和重点性工作，围绕中心工作，积极履职，强化管理，较好的完成了年度工作目标。通过加强预算收支的管理，不断建立健全内部管理制度，理顺内部管理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固定资产管理</w:t>
      </w:r>
      <w:r>
        <w:rPr>
          <w:rFonts w:hint="eastAsia" w:ascii="仿宋" w:hAnsi="仿宋" w:eastAsia="仿宋" w:cs="仿宋"/>
          <w:sz w:val="32"/>
          <w:szCs w:val="32"/>
        </w:rPr>
        <w:t>流程，部门整体支出管理情况得到了提升。</w:t>
      </w:r>
    </w:p>
    <w:p w14:paraId="0608E2C3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四、存在的主要问题</w:t>
      </w:r>
    </w:p>
    <w:p w14:paraId="33A6B2BC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初预算的编制较为精细，按照费用支出的使用范围和内容，进行了基本支出、项目支出的严格区分，并按照预算的最末级明细进行预算支出管理，专款专用。但对于追加的项目支出、上年结余结转的项目资金，没有进行预算分解，编制明细预算。</w:t>
      </w:r>
    </w:p>
    <w:p w14:paraId="235EBEBA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五、改进措施及建议</w:t>
      </w:r>
    </w:p>
    <w:p w14:paraId="6009E51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加强内部机构的预算管理意识，严格按照预算编制的相关制度和要求，进一步提高预算编制的科学性、合理性、严谨性和可控性，在日常预算管理过程中，进一步加强预算支出的审核、跟踪及预算执行情况分析。</w:t>
      </w:r>
    </w:p>
    <w:p w14:paraId="2D9A573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EE8E13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</w:p>
    <w:p w14:paraId="4C26C526">
      <w:pPr>
        <w:wordWrap w:val="0"/>
        <w:spacing w:line="56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中共常宁市委政法委员会</w:t>
      </w:r>
    </w:p>
    <w:p w14:paraId="42618A63">
      <w:pPr>
        <w:spacing w:line="560" w:lineRule="exact"/>
        <w:ind w:right="480" w:firstLine="640" w:firstLineChars="200"/>
        <w:jc w:val="righ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F16D892">
      <w:pPr>
        <w:rPr>
          <w:rFonts w:hint="eastAsia" w:ascii="仿宋" w:hAnsi="仿宋" w:eastAsia="仿宋" w:cs="仿宋"/>
          <w:sz w:val="32"/>
          <w:szCs w:val="32"/>
        </w:rPr>
      </w:pPr>
    </w:p>
    <w:p w14:paraId="51C0563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62197E"/>
    <w:sectPr>
      <w:pgSz w:w="11906" w:h="16838"/>
      <w:pgMar w:top="1702" w:right="1800" w:bottom="1843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E2FD8"/>
    <w:rsid w:val="083A448F"/>
    <w:rsid w:val="232E2FD8"/>
    <w:rsid w:val="74B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1365</Words>
  <Characters>1469</Characters>
  <Lines>0</Lines>
  <Paragraphs>0</Paragraphs>
  <TotalTime>0</TotalTime>
  <ScaleCrop>false</ScaleCrop>
  <LinksUpToDate>false</LinksUpToDate>
  <CharactersWithSpaces>1470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2025-08-26T08:49:00Z</dcterms:created>
  <dc:creator>李冬秀</dc:creator>
  <cp:lastModifiedBy>李冬秀</cp:lastModifiedBy>
  <dcterms:modified xsi:type="dcterms:W3CDTF">2025-08-28T02:40:58Z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65299998447C4AE287A7863365D2C128_13</vt:lpwstr>
  </property>
  <property fmtid="{D5CDD505-2E9C-101B-9397-08002B2CF9AE}" pid="4" name="KSOTemplateDocerSaveRecord">
    <vt:lpwstr>eyJoZGlkIjoiOTg0OWY4YzliYzEzNTgzNzllNzk1MmVjNWViYTBjNDAiLCJ1c2VySWQiOiI2NzUxMzA1NTIifQ==</vt:lpwstr>
  </property>
</Properties>
</file>