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730B8">
      <w:pPr>
        <w:snapToGrid w:val="0"/>
        <w:spacing w:line="580" w:lineRule="exact"/>
        <w:rPr>
          <w:rFonts w:hint="eastAsia" w:eastAsia="黑体"/>
          <w:bCs/>
          <w:sz w:val="32"/>
          <w:szCs w:val="32"/>
          <w:lang w:val="en-US" w:eastAsia="zh-CN"/>
        </w:rPr>
      </w:pPr>
    </w:p>
    <w:p w14:paraId="636E06FE">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color w:val="auto"/>
          <w:sz w:val="44"/>
          <w:szCs w:val="44"/>
          <w:lang w:val="en-US" w:eastAsia="zh-CN"/>
        </w:rPr>
        <w:t>部门整体支出绩效自评报告</w:t>
      </w:r>
    </w:p>
    <w:p w14:paraId="1B4F9AA3">
      <w:pPr>
        <w:jc w:val="center"/>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（2024年）</w:t>
      </w:r>
    </w:p>
    <w:p w14:paraId="16658E1D">
      <w:pPr>
        <w:pStyle w:val="4"/>
        <w:rPr>
          <w:rFonts w:hint="eastAsia" w:ascii="方正小标宋_GBK" w:hAnsi="方正小标宋_GBK" w:eastAsia="方正小标宋_GBK" w:cs="方正小标宋_GBK"/>
          <w:b w:val="0"/>
          <w:bCs w:val="0"/>
          <w:color w:val="auto"/>
          <w:kern w:val="2"/>
          <w:sz w:val="44"/>
          <w:szCs w:val="44"/>
          <w:lang w:val="en-US" w:eastAsia="zh-CN" w:bidi="ar-SA"/>
        </w:rPr>
      </w:pPr>
    </w:p>
    <w:p w14:paraId="6E092299">
      <w:pPr>
        <w:rPr>
          <w:rFonts w:hint="eastAsia" w:ascii="方正小标宋_GBK" w:hAnsi="方正小标宋_GBK" w:eastAsia="方正小标宋_GBK" w:cs="方正小标宋_GBK"/>
          <w:b w:val="0"/>
          <w:bCs w:val="0"/>
          <w:color w:val="auto"/>
          <w:kern w:val="2"/>
          <w:sz w:val="44"/>
          <w:szCs w:val="44"/>
          <w:lang w:val="en-US" w:eastAsia="zh-CN" w:bidi="ar-SA"/>
        </w:rPr>
      </w:pPr>
    </w:p>
    <w:p w14:paraId="544D150E">
      <w:pPr>
        <w:pStyle w:val="4"/>
        <w:rPr>
          <w:rFonts w:hint="eastAsia" w:ascii="方正小标宋_GBK" w:hAnsi="方正小标宋_GBK" w:eastAsia="方正小标宋_GBK" w:cs="方正小标宋_GBK"/>
          <w:b w:val="0"/>
          <w:bCs w:val="0"/>
          <w:color w:val="auto"/>
          <w:kern w:val="2"/>
          <w:sz w:val="44"/>
          <w:szCs w:val="44"/>
          <w:lang w:val="en-US" w:eastAsia="zh-CN" w:bidi="ar-SA"/>
        </w:rPr>
      </w:pPr>
    </w:p>
    <w:p w14:paraId="7729F5A1">
      <w:pPr>
        <w:rPr>
          <w:rFonts w:hint="eastAsia" w:ascii="方正小标宋_GBK" w:hAnsi="方正小标宋_GBK" w:eastAsia="方正小标宋_GBK" w:cs="方正小标宋_GBK"/>
          <w:b w:val="0"/>
          <w:bCs w:val="0"/>
          <w:color w:val="auto"/>
          <w:kern w:val="2"/>
          <w:sz w:val="44"/>
          <w:szCs w:val="44"/>
          <w:lang w:val="en-US" w:eastAsia="zh-CN" w:bidi="ar-SA"/>
        </w:rPr>
      </w:pPr>
    </w:p>
    <w:p w14:paraId="31656F5C">
      <w:pPr>
        <w:rPr>
          <w:rFonts w:hint="eastAsia"/>
          <w:lang w:val="en-US" w:eastAsia="zh-CN"/>
        </w:rPr>
      </w:pPr>
    </w:p>
    <w:p w14:paraId="25EEF439">
      <w:pPr>
        <w:pStyle w:val="4"/>
        <w:ind w:firstLine="2200" w:firstLineChars="500"/>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单位名称：</w:t>
      </w:r>
      <w:r>
        <w:rPr>
          <w:rFonts w:hint="eastAsia" w:ascii="黑体" w:hAnsi="黑体" w:eastAsia="黑体" w:cs="黑体"/>
          <w:b/>
          <w:color w:val="333333"/>
          <w:sz w:val="44"/>
          <w:szCs w:val="44"/>
          <w:shd w:val="clear" w:color="auto" w:fill="FFFFFF"/>
        </w:rPr>
        <w:t>常宁市</w:t>
      </w:r>
      <w:r>
        <w:rPr>
          <w:rFonts w:hint="eastAsia" w:ascii="黑体" w:hAnsi="黑体" w:eastAsia="黑体" w:cs="黑体"/>
          <w:b/>
          <w:color w:val="333333"/>
          <w:sz w:val="44"/>
          <w:szCs w:val="44"/>
          <w:shd w:val="clear" w:color="auto" w:fill="FFFFFF"/>
          <w:lang w:eastAsia="zh-CN"/>
        </w:rPr>
        <w:t>园林绿化所</w:t>
      </w:r>
      <w:bookmarkStart w:id="2" w:name="_GoBack"/>
      <w:bookmarkEnd w:id="2"/>
    </w:p>
    <w:p w14:paraId="3559EEAD">
      <w:pPr>
        <w:jc w:val="center"/>
        <w:rPr>
          <w:rFonts w:hint="default"/>
          <w:lang w:val="en-US" w:eastAsia="zh-CN"/>
        </w:rPr>
      </w:pPr>
    </w:p>
    <w:p w14:paraId="6C468EDF">
      <w:pPr>
        <w:jc w:val="center"/>
        <w:rPr>
          <w:rFonts w:hint="default"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2025年3月28日</w:t>
      </w:r>
    </w:p>
    <w:p w14:paraId="6A06FB53">
      <w:pPr>
        <w:pStyle w:val="4"/>
        <w:rPr>
          <w:rFonts w:hint="eastAsia"/>
          <w:lang w:val="en-US" w:eastAsia="zh-CN"/>
        </w:rPr>
      </w:pPr>
    </w:p>
    <w:p w14:paraId="73123FED">
      <w:pPr>
        <w:rPr>
          <w:rFonts w:hint="eastAsia"/>
          <w:lang w:val="en-US" w:eastAsia="zh-CN"/>
        </w:rPr>
      </w:pPr>
    </w:p>
    <w:p w14:paraId="3A4DB6A5">
      <w:pPr>
        <w:snapToGrid w:val="0"/>
        <w:spacing w:line="580" w:lineRule="exact"/>
        <w:jc w:val="center"/>
        <w:rPr>
          <w:rFonts w:ascii="仿宋_GB2312" w:hAnsi="华文中宋"/>
          <w:bCs/>
          <w:sz w:val="36"/>
          <w:szCs w:val="44"/>
        </w:rPr>
      </w:pPr>
    </w:p>
    <w:p w14:paraId="513B3E53">
      <w:pPr>
        <w:pStyle w:val="4"/>
      </w:pPr>
    </w:p>
    <w:p w14:paraId="595FDCE6">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2024年度</w:t>
      </w:r>
      <w:r>
        <w:rPr>
          <w:rFonts w:hint="eastAsia" w:ascii="黑体" w:hAnsi="黑体" w:eastAsia="黑体" w:cs="黑体"/>
          <w:b/>
          <w:color w:val="333333"/>
          <w:sz w:val="44"/>
          <w:szCs w:val="44"/>
          <w:shd w:val="clear" w:color="auto" w:fill="FFFFFF"/>
        </w:rPr>
        <w:t>常宁市</w:t>
      </w:r>
      <w:r>
        <w:rPr>
          <w:rFonts w:hint="eastAsia" w:ascii="黑体" w:hAnsi="黑体" w:eastAsia="黑体" w:cs="黑体"/>
          <w:b/>
          <w:color w:val="333333"/>
          <w:sz w:val="44"/>
          <w:szCs w:val="44"/>
          <w:shd w:val="clear" w:color="auto" w:fill="FFFFFF"/>
          <w:lang w:eastAsia="zh-CN"/>
        </w:rPr>
        <w:t>园林绿化所</w:t>
      </w:r>
      <w:r>
        <w:rPr>
          <w:rFonts w:hint="eastAsia" w:ascii="方正小标宋_GBK" w:hAnsi="方正小标宋_GBK" w:eastAsia="方正小标宋_GBK" w:cs="方正小标宋_GBK"/>
          <w:color w:val="auto"/>
          <w:sz w:val="44"/>
          <w:szCs w:val="44"/>
          <w:lang w:val="en-US" w:eastAsia="zh-CN"/>
        </w:rPr>
        <w:t>整体支出</w:t>
      </w:r>
    </w:p>
    <w:p w14:paraId="5294CD1D">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绩效自评报告</w:t>
      </w:r>
    </w:p>
    <w:p w14:paraId="3FB8BE42">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为加强财政支出绩效管理，提高财政资金使用效益，根据《湖南省预算支出绩效评价管理办法》（湘财绩〔2020〕7号）、常宁市财政局《关于开展2024年度预算支出绩效自评工作的通知》（常财绩〔2025〕19号）等文件精神，我所对2024年度部门整体支出进行了绩效自评，现将评价情况报告如下：</w:t>
      </w:r>
    </w:p>
    <w:p w14:paraId="6ED4D1FD">
      <w:pPr>
        <w:keepNext/>
        <w:keepLines/>
        <w:pageBreakBefore w:val="0"/>
        <w:widowControl w:val="0"/>
        <w:numPr>
          <w:ilvl w:val="0"/>
          <w:numId w:val="1"/>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eastAsia="黑体" w:cs="Times New Roman"/>
          <w:b w:val="0"/>
          <w:bCs w:val="0"/>
          <w:color w:val="auto"/>
          <w:kern w:val="2"/>
          <w:sz w:val="32"/>
          <w:szCs w:val="32"/>
          <w:lang w:val="en-US" w:eastAsia="zh-CN" w:bidi="ar-SA"/>
        </w:rPr>
      </w:pPr>
      <w:r>
        <w:rPr>
          <w:rFonts w:hint="eastAsia" w:eastAsia="黑体" w:cs="Times New Roman"/>
          <w:b w:val="0"/>
          <w:bCs w:val="0"/>
          <w:color w:val="auto"/>
          <w:kern w:val="2"/>
          <w:sz w:val="32"/>
          <w:szCs w:val="32"/>
          <w:lang w:val="en-US" w:eastAsia="zh-CN" w:bidi="ar-SA"/>
        </w:rPr>
        <w:t>部门基本情况</w:t>
      </w:r>
    </w:p>
    <w:p w14:paraId="4C9B13EB">
      <w:pPr>
        <w:keepNext/>
        <w:keepLines/>
        <w:pageBreakBefore w:val="0"/>
        <w:widowControl w:val="0"/>
        <w:numPr>
          <w:ilvl w:val="0"/>
          <w:numId w:val="2"/>
        </w:numPr>
        <w:kinsoku/>
        <w:wordWrap/>
        <w:overflowPunct/>
        <w:topLinePunct w:val="0"/>
        <w:autoSpaceDE/>
        <w:autoSpaceDN/>
        <w:bidi w:val="0"/>
        <w:adjustRightInd/>
        <w:spacing w:line="592" w:lineRule="exact"/>
        <w:ind w:firstLine="320" w:firstLineChars="100"/>
        <w:jc w:val="both"/>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机构、人员构成</w:t>
      </w:r>
    </w:p>
    <w:p w14:paraId="7CE3B3C9">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常宁市园林绿化所隶属常宁市城市管理和综合执法局二级机构。根据编委核定本单位内设股室8个。其中：内设处室分别是办公室、财务股、稽查股、绿化管理股、广场管理股、泉峰公园、幼儿园、苗圃8个管理部门。单位负责人：谭孝忠。</w:t>
      </w:r>
    </w:p>
    <w:p w14:paraId="065B3C78">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仿宋_GB2312" w:hAnsi="仿宋_GB2312" w:eastAsia="仿宋_GB2312" w:cs="仿宋_GB2312"/>
          <w:b w:val="0"/>
          <w:bCs w:val="0"/>
          <w:color w:val="0000FF"/>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本部门编制数88人,在职人数60人，其中:在岗人数60人；离退休人数67人，其中离休人员0人，退休人员67人。 </w:t>
      </w:r>
    </w:p>
    <w:p w14:paraId="68114BB9">
      <w:pPr>
        <w:keepNext/>
        <w:keepLines/>
        <w:pageBreakBefore w:val="0"/>
        <w:widowControl w:val="0"/>
        <w:numPr>
          <w:ilvl w:val="0"/>
          <w:numId w:val="2"/>
        </w:numPr>
        <w:kinsoku/>
        <w:wordWrap/>
        <w:overflowPunct/>
        <w:topLinePunct w:val="0"/>
        <w:autoSpaceDE/>
        <w:autoSpaceDN/>
        <w:bidi w:val="0"/>
        <w:adjustRightInd/>
        <w:spacing w:line="592" w:lineRule="exact"/>
        <w:ind w:firstLine="320" w:firstLineChars="100"/>
        <w:jc w:val="both"/>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单位主要职能职责</w:t>
      </w:r>
    </w:p>
    <w:p w14:paraId="67A12DA1">
      <w:pPr>
        <w:pStyle w:val="11"/>
        <w:widowControl/>
        <w:spacing w:beforeAutospacing="0" w:afterAutospacing="0" w:line="360" w:lineRule="auto"/>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1、宣传贯彻落实有关园林绿化的法律法规和政策，研究拟订市区园林绿化年度计划，引进推广应用园林绿化科技新成果，推进园林绿化事业发展。</w:t>
      </w:r>
    </w:p>
    <w:p w14:paraId="6534BA5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按有关规定参与编制市区园林绿化规划，制定市区园林绿化目标；负责市区城市雕塑、园林绿化、自然保护区及古树名木综合管理工作；负责市区公共绿地、公园、街道绿化、小游园的规划设计建设和管理；指导各建制镇、机关团体及居民小区关于园林绿化的规划设计和建设工作；负责园林绿化工程建设项目的审查报批；督促各单位、居民小区落实园林绿化任务。</w:t>
      </w:r>
    </w:p>
    <w:p w14:paraId="3DE67320">
      <w:pPr>
        <w:pStyle w:val="11"/>
        <w:widowControl/>
        <w:spacing w:beforeAutospacing="0" w:afterAutospacing="0" w:line="360" w:lineRule="auto"/>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3、负责组织城市全民义务植树活动，按有关规定鉴定申报风景名胜区以及各级园林式单位、花园式单位。</w:t>
      </w:r>
    </w:p>
    <w:p w14:paraId="0564653E">
      <w:pPr>
        <w:pStyle w:val="11"/>
        <w:widowControl/>
        <w:spacing w:beforeAutospacing="0" w:afterAutospacing="0" w:line="360" w:lineRule="auto"/>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4、根据有关法律、法规保护园林绿化成果，开展园林绿化监察，查处市区城市雕塑、园林绿化、古树名木等管理中的违法违规行为。</w:t>
      </w:r>
    </w:p>
    <w:p w14:paraId="7C7C827C">
      <w:pPr>
        <w:pStyle w:val="11"/>
        <w:widowControl/>
        <w:spacing w:beforeAutospacing="0" w:afterAutospacing="0"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5、完成上级交办的其它工作。</w:t>
      </w:r>
    </w:p>
    <w:p w14:paraId="7962CAE8">
      <w:pPr>
        <w:keepNext/>
        <w:keepLines/>
        <w:pageBreakBefore w:val="0"/>
        <w:widowControl w:val="0"/>
        <w:numPr>
          <w:ilvl w:val="0"/>
          <w:numId w:val="1"/>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一般公共预算支出情况</w:t>
      </w:r>
    </w:p>
    <w:p w14:paraId="6B617044">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2024年常宁市园林绿化所一般公共预算收入、支出均为1315.41万元。</w:t>
      </w:r>
    </w:p>
    <w:p w14:paraId="3BFA3B7B">
      <w:pPr>
        <w:keepNext/>
        <w:keepLines/>
        <w:pageBreakBefore w:val="0"/>
        <w:widowControl w:val="0"/>
        <w:numPr>
          <w:ilvl w:val="0"/>
          <w:numId w:val="3"/>
        </w:numPr>
        <w:kinsoku/>
        <w:wordWrap/>
        <w:overflowPunct/>
        <w:topLinePunct w:val="0"/>
        <w:autoSpaceDE/>
        <w:autoSpaceDN/>
        <w:bidi w:val="0"/>
        <w:adjustRightInd/>
        <w:spacing w:line="592" w:lineRule="exact"/>
        <w:ind w:firstLine="320" w:firstLineChars="100"/>
        <w:jc w:val="both"/>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基本支出情况</w:t>
      </w:r>
    </w:p>
    <w:p w14:paraId="6D058021">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2024年基本支出为664.08元，其中人员经费545.55万元，公用经费118.53.00万元，与2023年相比减少63.35万元，减少9.53%,主要原因：人员变动。</w:t>
      </w:r>
    </w:p>
    <w:p w14:paraId="177E4544">
      <w:pPr>
        <w:keepNext/>
        <w:keepLines/>
        <w:pageBreakBefore w:val="0"/>
        <w:widowControl w:val="0"/>
        <w:numPr>
          <w:ilvl w:val="0"/>
          <w:numId w:val="3"/>
        </w:numPr>
        <w:kinsoku/>
        <w:wordWrap/>
        <w:overflowPunct/>
        <w:topLinePunct w:val="0"/>
        <w:autoSpaceDE/>
        <w:autoSpaceDN/>
        <w:bidi w:val="0"/>
        <w:adjustRightInd/>
        <w:spacing w:line="592" w:lineRule="exact"/>
        <w:ind w:firstLine="320" w:firstLineChars="100"/>
        <w:jc w:val="both"/>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项目支出情况</w:t>
      </w:r>
    </w:p>
    <w:p w14:paraId="48399322">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2024年项目支出为552.1万元，与2023年相比减少376.28万元，减少40.53%，主要原因：励行节约。</w:t>
      </w:r>
    </w:p>
    <w:p w14:paraId="126E93B3">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2024年项目支出主要为园林绿化养护维护包干经费420.72万元、中央长江经济带绿色发展专项（生态环境突出问题整改项目）52.13万元、城区主要入口鲜花摆设及悬挂灯笼资金60万元，项目资金主要购买植物、修建园林设施、进行绿地建设和保护植物生态环境等方面的投入。</w:t>
      </w:r>
    </w:p>
    <w:p w14:paraId="2B24D31F">
      <w:pPr>
        <w:numPr>
          <w:ilvl w:val="0"/>
          <w:numId w:val="0"/>
        </w:numPr>
        <w:snapToGrid w:val="0"/>
        <w:spacing w:line="580" w:lineRule="exact"/>
        <w:ind w:firstLine="640" w:firstLineChars="200"/>
        <w:outlineLvl w:val="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我所制定了专项资金管理办法，资金使用规范，符合国家财经法规和财务管理以及专项资金管理办法的相关规定，不存在超标准开支情况和截留、挤占、挪用项目资金情况。</w:t>
      </w:r>
    </w:p>
    <w:p w14:paraId="1DFF445A">
      <w:pPr>
        <w:pStyle w:val="12"/>
        <w:rPr>
          <w:rFonts w:hint="eastAsia" w:ascii="仿宋_GB2312" w:hAnsi="仿宋_GB2312" w:eastAsia="仿宋_GB2312" w:cs="仿宋_GB2312"/>
          <w:sz w:val="32"/>
          <w:szCs w:val="32"/>
          <w:lang w:val="en-US" w:eastAsia="zh-CN"/>
        </w:rPr>
      </w:pPr>
    </w:p>
    <w:p w14:paraId="7223743E">
      <w:pPr>
        <w:keepNext/>
        <w:keepLines/>
        <w:pageBreakBefore w:val="0"/>
        <w:widowControl w:val="0"/>
        <w:numPr>
          <w:ilvl w:val="0"/>
          <w:numId w:val="1"/>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政府性基金预算支出情况</w:t>
      </w:r>
    </w:p>
    <w:p w14:paraId="41FAA503">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14:paraId="3B69A8A8">
      <w:pPr>
        <w:keepNext/>
        <w:keepLines/>
        <w:pageBreakBefore w:val="0"/>
        <w:widowControl w:val="0"/>
        <w:numPr>
          <w:ilvl w:val="0"/>
          <w:numId w:val="1"/>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国有资本经营预算支出情况</w:t>
      </w:r>
    </w:p>
    <w:p w14:paraId="41210871">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14:paraId="79474C9E">
      <w:pPr>
        <w:keepNext/>
        <w:keepLines/>
        <w:pageBreakBefore w:val="0"/>
        <w:widowControl w:val="0"/>
        <w:numPr>
          <w:ilvl w:val="0"/>
          <w:numId w:val="1"/>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社会保险基金预算支出情况</w:t>
      </w:r>
    </w:p>
    <w:p w14:paraId="2D39A462">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14:paraId="3C0D5C5C">
      <w:pPr>
        <w:keepNext/>
        <w:keepLines/>
        <w:pageBreakBefore w:val="0"/>
        <w:widowControl w:val="0"/>
        <w:numPr>
          <w:ilvl w:val="0"/>
          <w:numId w:val="1"/>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部门整体支出绩效情况</w:t>
      </w:r>
    </w:p>
    <w:p w14:paraId="36CC25A1">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我所</w:t>
      </w:r>
      <w:r>
        <w:rPr>
          <w:rFonts w:hint="eastAsia" w:ascii="仿宋_GB2312" w:hAnsi="仿宋_GB2312" w:eastAsia="仿宋_GB2312" w:cs="仿宋_GB2312"/>
          <w:sz w:val="32"/>
          <w:szCs w:val="32"/>
        </w:rPr>
        <w:t>紧紧围绕市委、市政府和</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党组的工作精神和思路开展各项工作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进一步加强园林绿化建设和管理，重点做好</w:t>
      </w:r>
      <w:r>
        <w:rPr>
          <w:rFonts w:hint="eastAsia" w:ascii="仿宋_GB2312" w:hAnsi="仿宋_GB2312" w:eastAsia="仿宋_GB2312" w:cs="仿宋_GB2312"/>
          <w:sz w:val="32"/>
          <w:szCs w:val="32"/>
          <w:lang w:eastAsia="zh-CN"/>
        </w:rPr>
        <w:t>优化公园管理、提升道路景观、</w:t>
      </w:r>
      <w:r>
        <w:rPr>
          <w:rFonts w:hint="eastAsia" w:ascii="仿宋_GB2312" w:hAnsi="仿宋_GB2312" w:eastAsia="仿宋_GB2312" w:cs="仿宋_GB2312"/>
          <w:sz w:val="32"/>
          <w:szCs w:val="32"/>
        </w:rPr>
        <w:t>绿化</w:t>
      </w:r>
      <w:r>
        <w:rPr>
          <w:rFonts w:hint="eastAsia" w:ascii="仿宋_GB2312" w:hAnsi="仿宋_GB2312" w:eastAsia="仿宋_GB2312" w:cs="仿宋_GB2312"/>
          <w:sz w:val="32"/>
          <w:szCs w:val="32"/>
          <w:lang w:val="en-US" w:eastAsia="zh-CN"/>
        </w:rPr>
        <w:t>提档升级</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绿化</w:t>
      </w:r>
      <w:r>
        <w:rPr>
          <w:rFonts w:hint="eastAsia" w:ascii="仿宋_GB2312" w:hAnsi="仿宋_GB2312" w:eastAsia="仿宋_GB2312" w:cs="仿宋_GB2312"/>
          <w:sz w:val="32"/>
          <w:szCs w:val="32"/>
        </w:rPr>
        <w:t>日常养护管理等工作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取得了较好的社会效益，具体表现如下：</w:t>
      </w:r>
    </w:p>
    <w:p w14:paraId="4C510A06">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line="60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（一）加强</w:t>
      </w:r>
      <w:r>
        <w:rPr>
          <w:rFonts w:hint="eastAsia" w:ascii="仿宋_GB2312" w:hAnsi="仿宋_GB2312" w:eastAsia="仿宋_GB2312" w:cs="仿宋_GB2312"/>
          <w:b/>
          <w:bCs/>
          <w:sz w:val="32"/>
          <w:szCs w:val="32"/>
        </w:rPr>
        <w:t>公园绿地</w:t>
      </w:r>
      <w:r>
        <w:rPr>
          <w:rFonts w:hint="eastAsia" w:ascii="仿宋_GB2312" w:hAnsi="仿宋_GB2312" w:eastAsia="仿宋_GB2312" w:cs="仿宋_GB2312"/>
          <w:b/>
          <w:bCs/>
          <w:sz w:val="32"/>
          <w:szCs w:val="32"/>
          <w:lang w:eastAsia="zh-CN"/>
        </w:rPr>
        <w:t>管理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b w:val="0"/>
          <w:bCs w:val="0"/>
          <w:color w:val="auto"/>
          <w:sz w:val="32"/>
          <w:szCs w:val="32"/>
          <w:shd w:val="clear" w:color="auto" w:fill="FFFFFF"/>
          <w:lang w:val="en-US" w:eastAsia="zh-CN"/>
        </w:rPr>
        <w:t>泉峰公园日常保洁常抓不懈，实行一天两清扫，全天保洁的制度，并不定期的清理公园塘垃圾；做好了园内绿地的除草、施肥、杀虫等日常养护工作；对园内围墙、石桌、石凳、凉亭等进行了维护，对园内路灯进行了维修改造，更换路灯70余盏，确保园内设施完整成形无破损。</w:t>
      </w:r>
      <w:bookmarkStart w:id="0" w:name="OLE_LINK1"/>
      <w:r>
        <w:rPr>
          <w:rFonts w:hint="eastAsia" w:ascii="仿宋_GB2312" w:hAnsi="仿宋_GB2312" w:eastAsia="仿宋_GB2312" w:cs="仿宋_GB2312"/>
          <w:b w:val="0"/>
          <w:bCs w:val="0"/>
          <w:color w:val="auto"/>
          <w:sz w:val="32"/>
          <w:szCs w:val="32"/>
          <w:shd w:val="clear" w:color="auto" w:fill="FFFFFF"/>
          <w:lang w:val="en-US" w:eastAsia="zh-CN"/>
        </w:rPr>
        <w:t>二是对砚池山公园绿化进行修剪、除草、杀虫、施肥等全面养护管理，修剪道路两边球型1600株，绿篱6000余平方，施复合肥两吨，清理死树死枝100余株，栽植20至30公分树木10株，清理园内刮藤40000平方。</w:t>
      </w:r>
    </w:p>
    <w:bookmarkEnd w:id="0"/>
    <w:p w14:paraId="3AD58AB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有序提升道路景观。</w:t>
      </w:r>
      <w:r>
        <w:rPr>
          <w:rFonts w:hint="eastAsia" w:ascii="仿宋_GB2312" w:hAnsi="仿宋_GB2312" w:eastAsia="仿宋_GB2312" w:cs="仿宋_GB2312"/>
          <w:sz w:val="32"/>
          <w:szCs w:val="32"/>
        </w:rPr>
        <w:t>一是对城区主次干道绿化带及路侧绿地内黄土裸露问题进行“同苗木、同规格”补植，</w:t>
      </w:r>
      <w:r>
        <w:rPr>
          <w:rFonts w:hint="eastAsia" w:ascii="仿宋_GB2312" w:hAnsi="仿宋_GB2312" w:eastAsia="仿宋_GB2312" w:cs="仿宋_GB2312"/>
          <w:sz w:val="32"/>
          <w:szCs w:val="32"/>
          <w:lang w:val="en-US" w:eastAsia="zh-CN"/>
        </w:rPr>
        <w:t>补植樟树、桂花、杜英等乔木300余株，红桎木、红叶石楠、四季桂等球形树8万余株，杜鹃裸根苗5万余株,北一环铺设草皮5000余平方，</w:t>
      </w:r>
      <w:r>
        <w:rPr>
          <w:rFonts w:hint="eastAsia" w:ascii="仿宋_GB2312" w:hAnsi="仿宋_GB2312" w:eastAsia="仿宋_GB2312" w:cs="仿宋_GB2312"/>
          <w:sz w:val="32"/>
          <w:szCs w:val="32"/>
        </w:rPr>
        <w:t>确保无黄士裸露。</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lang w:val="en-US" w:eastAsia="zh-CN"/>
        </w:rPr>
        <w:t>用鲜花点缀城市，在宜水桥摆放月季2280株，对交通岛、城区出入口进行精细化管理，重大节假日保持鲜花陈列并及时更换，换栽当季花草金盏菊、三色堇、孔雀草、鸡冠花等草花6万余株，东一环更换美女樱161000株，</w:t>
      </w:r>
      <w:r>
        <w:rPr>
          <w:rFonts w:hint="eastAsia" w:ascii="仿宋_GB2312" w:hAnsi="仿宋_GB2312" w:eastAsia="仿宋_GB2312" w:cs="仿宋_GB2312"/>
          <w:sz w:val="32"/>
          <w:szCs w:val="32"/>
        </w:rPr>
        <w:t>丰富道路绿化植物和色彩，提升道路景观效果。</w:t>
      </w:r>
    </w:p>
    <w:p w14:paraId="2989EB2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（三）提升城区绿化品质。</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sz w:val="32"/>
          <w:szCs w:val="32"/>
          <w:lang w:val="en-US" w:eastAsia="zh-CN"/>
        </w:rPr>
        <w:t>春节前对城区主要入口南外环高速入口、北二环高速入口、砚池山公园入口、泉峰公园入口、市委大院内、政府大院内、常宁北高速入口、南一环交通岛、西二环交通岛、玉虹交通岛等进行鲜花装饰，购置立体环形花柱、多层次花架、造型龙年吉祥物、组合式花架绿雕，金桔、杜鹃、菊花、甘兰、报春花、清香木等鲜花10余万盆，在城区主干道群英路，青阳路密集悬挂3连串、5连串灯笼计2万余串，</w:t>
      </w:r>
      <w:bookmarkStart w:id="1" w:name="OLE_LINK2"/>
      <w:r>
        <w:rPr>
          <w:rFonts w:hint="eastAsia" w:ascii="仿宋_GB2312" w:hAnsi="仿宋_GB2312" w:eastAsia="仿宋_GB2312" w:cs="仿宋_GB2312"/>
          <w:sz w:val="32"/>
          <w:szCs w:val="32"/>
          <w:lang w:val="en-US" w:eastAsia="zh-CN"/>
        </w:rPr>
        <w:t>营造了良好的节日氛围，为全市人民打造一个整洁靓丽的节日环境。</w:t>
      </w:r>
      <w:bookmarkEnd w:id="1"/>
      <w:r>
        <w:rPr>
          <w:rFonts w:hint="eastAsia" w:ascii="仿宋_GB2312" w:hAnsi="仿宋_GB2312" w:eastAsia="仿宋_GB2312" w:cs="仿宋_GB2312"/>
          <w:sz w:val="32"/>
          <w:szCs w:val="32"/>
          <w:lang w:val="en-US" w:eastAsia="zh-CN"/>
        </w:rPr>
        <w:t>二是国庆期间在北一环、北二环、青阳北路、东一环、南三环等悬挂国旗2000余面，营造了良好的节日氛围，为全市人民打造一个整洁靓丽的节日环境。</w:t>
      </w:r>
    </w:p>
    <w:p w14:paraId="461CA3EB">
      <w:pPr>
        <w:keepNext w:val="0"/>
        <w:keepLines w:val="0"/>
        <w:pageBreakBefore w:val="0"/>
        <w:widowControl/>
        <w:kinsoku/>
        <w:wordWrap/>
        <w:overflowPunct/>
        <w:topLinePunct w:val="0"/>
        <w:autoSpaceDE w:val="0"/>
        <w:autoSpaceDN/>
        <w:bidi w:val="0"/>
        <w:adjustRightInd w:val="0"/>
        <w:snapToGrid w:val="0"/>
        <w:spacing w:before="0" w:beforeAutospacing="0" w:after="0" w:line="60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全面提升养护水平。</w:t>
      </w:r>
      <w:r>
        <w:rPr>
          <w:rFonts w:hint="eastAsia" w:ascii="仿宋_GB2312" w:hAnsi="仿宋_GB2312" w:eastAsia="仿宋_GB2312" w:cs="仿宋_GB2312"/>
          <w:sz w:val="32"/>
          <w:szCs w:val="32"/>
        </w:rPr>
        <w:t>按照“高标准、精细化、常态化”的工作原则，多措并举、积极行动，加大日常绿化管理养护力度，实行“精细养护，严格管理，划片包干，责任到人”，形成“横到边、纵到底、全覆盖、无缝隙”的长效管理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全面提升园林绿地精细化管理水平，以绣花的功夫抓好城市绿地精细化管理。</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b w:val="0"/>
          <w:bCs w:val="0"/>
          <w:color w:val="auto"/>
          <w:sz w:val="32"/>
          <w:szCs w:val="32"/>
          <w:shd w:val="clear" w:color="auto" w:fill="FFFFFF"/>
          <w:lang w:eastAsia="zh-CN"/>
        </w:rPr>
        <w:t>对所管护区域内</w:t>
      </w:r>
      <w:r>
        <w:rPr>
          <w:rFonts w:hint="eastAsia" w:ascii="仿宋_GB2312" w:hAnsi="仿宋_GB2312" w:eastAsia="仿宋_GB2312" w:cs="仿宋_GB2312"/>
          <w:b w:val="0"/>
          <w:bCs w:val="0"/>
          <w:color w:val="auto"/>
          <w:sz w:val="32"/>
          <w:szCs w:val="32"/>
          <w:shd w:val="clear" w:color="auto" w:fill="FFFFFF"/>
          <w:lang w:val="en-US" w:eastAsia="zh-CN"/>
        </w:rPr>
        <w:t>8</w:t>
      </w:r>
      <w:r>
        <w:rPr>
          <w:rFonts w:hint="eastAsia" w:ascii="仿宋_GB2312" w:hAnsi="仿宋_GB2312" w:eastAsia="仿宋_GB2312" w:cs="仿宋_GB2312"/>
          <w:b w:val="0"/>
          <w:bCs w:val="0"/>
          <w:color w:val="auto"/>
          <w:sz w:val="32"/>
          <w:szCs w:val="32"/>
          <w:shd w:val="clear" w:color="auto" w:fill="FFFFFF"/>
          <w:lang w:eastAsia="zh-CN"/>
        </w:rPr>
        <w:t>0余万平方绿地每月视苗木长势情况</w:t>
      </w:r>
      <w:r>
        <w:rPr>
          <w:rFonts w:hint="eastAsia" w:ascii="仿宋_GB2312" w:hAnsi="仿宋_GB2312" w:eastAsia="仿宋_GB2312" w:cs="仿宋_GB2312"/>
          <w:sz w:val="32"/>
          <w:szCs w:val="32"/>
        </w:rPr>
        <w:t>全面开展浇水、修剪、补植、清理杂草、病虫害防治等绿化养护工作</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b w:val="0"/>
          <w:bCs w:val="0"/>
          <w:color w:val="auto"/>
          <w:sz w:val="32"/>
          <w:szCs w:val="32"/>
          <w:shd w:val="clear" w:color="auto" w:fill="FFFFFF"/>
          <w:lang w:val="en-US" w:eastAsia="zh-CN"/>
        </w:rPr>
        <w:t>从7月-10月底全面开展抗旱灌水保绿工作，针对不同区域，采取点对点、面对面的方式化解旱情，安排70余人，每天两班次，出动水车16台，平均每天浇灌绿地面积40余万平方；三是完成了公园、广场、苗圃、城市主干道及背街小巷等10余万株树木的涂白工作</w:t>
      </w:r>
      <w:r>
        <w:rPr>
          <w:rFonts w:hint="eastAsia" w:ascii="仿宋_GB2312" w:hAnsi="仿宋_GB2312" w:eastAsia="仿宋_GB2312" w:cs="仿宋_GB2312"/>
          <w:sz w:val="32"/>
          <w:szCs w:val="32"/>
          <w:lang w:eastAsia="zh-CN"/>
        </w:rPr>
        <w:t>。</w:t>
      </w:r>
    </w:p>
    <w:p w14:paraId="324B0A2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（五）全力开展环保整治。</w:t>
      </w:r>
      <w:r>
        <w:rPr>
          <w:rFonts w:hint="eastAsia" w:ascii="仿宋_GB2312" w:hAnsi="仿宋_GB2312" w:eastAsia="仿宋_GB2312" w:cs="仿宋_GB2312"/>
          <w:sz w:val="32"/>
          <w:szCs w:val="32"/>
          <w:lang w:val="en-US" w:eastAsia="zh-CN"/>
        </w:rPr>
        <w:t>全力配合做好第三轮中央生态环保的督察工作，对位于青阳广场漫州酒店后侧东风一巷一居民楼角落旁的一棵死亡的野树杂木进行清理。对反映的北湖明珠小区破坏公共绿地后“圈地种菜”等问题，我所会同宜阳办事处、北湖明珠物业管理单位就北湖小区沿湖路种植蔬菜一事进行整改，对种植的蔬菜及道路两侧绿化区、被侵占道路进行了集中清理并补植草皮、麦冬等地被植物1万余平方。</w:t>
      </w:r>
    </w:p>
    <w:p w14:paraId="25A7F8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（六）抓好苗木培育工作。</w:t>
      </w:r>
      <w:r>
        <w:rPr>
          <w:rFonts w:hint="eastAsia" w:ascii="仿宋_GB2312" w:hAnsi="仿宋_GB2312" w:eastAsia="仿宋_GB2312" w:cs="仿宋_GB2312"/>
          <w:sz w:val="32"/>
          <w:szCs w:val="32"/>
          <w:lang w:val="en-US" w:eastAsia="zh-CN"/>
        </w:rPr>
        <w:t>元山苗圃培育五星花、四季海棠、夏堇等袋装草花3万余盆，为城区公园、交通岛等零星更换鲜花提供部分优质苗源。</w:t>
      </w:r>
    </w:p>
    <w:p w14:paraId="0D053DD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(七)加强党的组织建设。</w:t>
      </w:r>
      <w:r>
        <w:rPr>
          <w:rFonts w:hint="eastAsia" w:ascii="仿宋_GB2312" w:hAnsi="仿宋_GB2312" w:eastAsia="仿宋_GB2312" w:cs="仿宋_GB2312"/>
          <w:b w:val="0"/>
          <w:bCs w:val="0"/>
          <w:sz w:val="32"/>
          <w:szCs w:val="32"/>
          <w:lang w:val="en-US" w:eastAsia="zh-CN"/>
        </w:rPr>
        <w:t>一是深学细悟。深</w:t>
      </w:r>
      <w:r>
        <w:rPr>
          <w:rFonts w:hint="eastAsia" w:ascii="仿宋_GB2312" w:hAnsi="仿宋_GB2312" w:eastAsia="仿宋_GB2312" w:cs="仿宋_GB2312"/>
          <w:sz w:val="32"/>
          <w:szCs w:val="32"/>
          <w:lang w:val="en-US" w:eastAsia="zh-CN"/>
        </w:rPr>
        <w:t>入学习贯彻习近平新时代中国特色社会主义思想，全面贯彻落实党的二十大和二十届二中全会精神，以习近平总书记重要讲话精神为指引，扎实开展党纪学习教育，教育引导支部党员要自觉学纪、知纪、明纪、守纪，进一步推动党纪学习教育走深走实，以实际行动坚定拥护“两个确立”、坚决做到“两个维护”。</w:t>
      </w:r>
      <w:r>
        <w:rPr>
          <w:rFonts w:hint="eastAsia" w:ascii="仿宋_GB2312" w:hAnsi="仿宋_GB2312" w:eastAsia="仿宋_GB2312" w:cs="仿宋_GB2312"/>
          <w:b w:val="0"/>
          <w:bCs w:val="0"/>
          <w:sz w:val="32"/>
          <w:szCs w:val="32"/>
          <w:lang w:val="en-US" w:eastAsia="zh-CN"/>
        </w:rPr>
        <w:t>二是落实制度。坚持落</w:t>
      </w:r>
      <w:r>
        <w:rPr>
          <w:rFonts w:hint="eastAsia" w:ascii="仿宋_GB2312" w:hAnsi="仿宋_GB2312" w:eastAsia="仿宋_GB2312" w:cs="仿宋_GB2312"/>
          <w:sz w:val="32"/>
          <w:szCs w:val="32"/>
          <w:lang w:val="en-US" w:eastAsia="zh-CN"/>
        </w:rPr>
        <w:t>实好“三会一课”制度，积极开展“一月一课一片一实践”活动，常态化开展理论学习,通过组织支部党员讲“微党课”、观看教育片、进行社会实践等形式，切实提升支部组织生活实效。</w:t>
      </w:r>
    </w:p>
    <w:p w14:paraId="36661B8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val="0"/>
          <w:bCs w:val="0"/>
          <w:i w:val="0"/>
          <w:caps w:val="0"/>
          <w:color w:val="auto"/>
          <w:spacing w:val="0"/>
          <w:sz w:val="32"/>
          <w:szCs w:val="32"/>
          <w:lang w:eastAsia="zh-CN"/>
        </w:rPr>
      </w:pPr>
      <w:r>
        <w:rPr>
          <w:rFonts w:hint="eastAsia" w:ascii="仿宋_GB2312" w:hAnsi="仿宋_GB2312" w:eastAsia="仿宋_GB2312" w:cs="仿宋_GB2312"/>
          <w:b/>
          <w:bCs/>
          <w:sz w:val="32"/>
          <w:szCs w:val="32"/>
          <w:lang w:val="en-US" w:eastAsia="zh-CN"/>
        </w:rPr>
        <w:t>（八）加强安全生产管理。</w:t>
      </w:r>
      <w:r>
        <w:rPr>
          <w:rFonts w:hint="eastAsia" w:ascii="仿宋_GB2312" w:hAnsi="仿宋_GB2312" w:eastAsia="仿宋_GB2312" w:cs="仿宋_GB2312"/>
          <w:b w:val="0"/>
          <w:bCs w:val="0"/>
          <w:i w:val="0"/>
          <w:caps w:val="0"/>
          <w:color w:val="auto"/>
          <w:spacing w:val="0"/>
          <w:sz w:val="32"/>
          <w:szCs w:val="32"/>
          <w:lang w:val="en-US" w:eastAsia="zh-CN"/>
        </w:rPr>
        <w:t>一是对</w:t>
      </w:r>
      <w:r>
        <w:rPr>
          <w:rFonts w:hint="eastAsia" w:ascii="仿宋_GB2312" w:hAnsi="仿宋_GB2312" w:eastAsia="仿宋_GB2312" w:cs="仿宋_GB2312"/>
          <w:b w:val="0"/>
          <w:bCs w:val="0"/>
          <w:i w:val="0"/>
          <w:caps w:val="0"/>
          <w:color w:val="auto"/>
          <w:spacing w:val="0"/>
          <w:sz w:val="32"/>
          <w:szCs w:val="32"/>
          <w:lang w:eastAsia="zh-CN"/>
        </w:rPr>
        <w:t>办公楼的电路、电器设备定期进行检查，对消防设施进行了检查，防止出现短路或者绝缘层损坏的情况，排除电力设备、设施中的安全隐患。</w:t>
      </w:r>
    </w:p>
    <w:p w14:paraId="1728460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caps w:val="0"/>
          <w:color w:val="auto"/>
          <w:spacing w:val="0"/>
          <w:sz w:val="32"/>
          <w:szCs w:val="32"/>
          <w:lang w:eastAsia="zh-CN"/>
        </w:rPr>
        <w:t>二是</w:t>
      </w:r>
      <w:r>
        <w:rPr>
          <w:rFonts w:hint="eastAsia" w:ascii="仿宋_GB2312" w:hAnsi="仿宋_GB2312" w:eastAsia="仿宋_GB2312" w:cs="仿宋_GB2312"/>
          <w:b w:val="0"/>
          <w:bCs w:val="0"/>
          <w:i w:val="0"/>
          <w:caps w:val="0"/>
          <w:color w:val="auto"/>
          <w:spacing w:val="0"/>
          <w:sz w:val="32"/>
          <w:szCs w:val="32"/>
          <w:lang w:val="en-US" w:eastAsia="zh-CN"/>
        </w:rPr>
        <w:t>对公园进行安全检查。抓好泉峰公园及砚池山公园的防火工作，强化预防措施。加强对泉峰公园内游乐设施运营方的监督与管理，要求其严格履行设备检查保养职责，</w:t>
      </w:r>
      <w:r>
        <w:rPr>
          <w:rFonts w:hint="eastAsia" w:ascii="仿宋_GB2312" w:hAnsi="仿宋_GB2312" w:eastAsia="仿宋_GB2312" w:cs="仿宋_GB2312"/>
          <w:b w:val="0"/>
          <w:bCs w:val="0"/>
          <w:color w:val="auto"/>
          <w:spacing w:val="-6"/>
          <w:sz w:val="32"/>
          <w:szCs w:val="32"/>
          <w:lang w:val="en-US" w:eastAsia="zh-CN"/>
        </w:rPr>
        <w:t>特种设备操作人员必须持证上岗，坚决杜绝无证运行、无证上岗等情况的发生。</w:t>
      </w:r>
      <w:r>
        <w:rPr>
          <w:rFonts w:hint="eastAsia" w:ascii="仿宋_GB2312" w:hAnsi="仿宋_GB2312" w:eastAsia="仿宋_GB2312" w:cs="仿宋_GB2312"/>
          <w:b w:val="0"/>
          <w:bCs w:val="0"/>
          <w:i w:val="0"/>
          <w:caps w:val="0"/>
          <w:color w:val="auto"/>
          <w:spacing w:val="0"/>
          <w:sz w:val="32"/>
          <w:szCs w:val="32"/>
          <w:lang w:val="en-US" w:eastAsia="zh-CN"/>
        </w:rPr>
        <w:t>三是</w:t>
      </w:r>
      <w:r>
        <w:rPr>
          <w:rFonts w:hint="eastAsia" w:ascii="仿宋_GB2312" w:hAnsi="仿宋_GB2312" w:eastAsia="仿宋_GB2312" w:cs="仿宋_GB2312"/>
          <w:b w:val="0"/>
          <w:bCs w:val="0"/>
          <w:i w:val="0"/>
          <w:caps w:val="0"/>
          <w:color w:val="auto"/>
          <w:spacing w:val="0"/>
          <w:sz w:val="32"/>
          <w:szCs w:val="32"/>
          <w:lang w:eastAsia="zh-CN"/>
        </w:rPr>
        <w:t>树木隐患排查。对道路两侧的行道树及公园内的高大树木进行安全隐患排查，及时修剪枯枝、病枝，针对排查中发现的</w:t>
      </w:r>
      <w:r>
        <w:rPr>
          <w:rFonts w:hint="eastAsia" w:ascii="仿宋_GB2312" w:hAnsi="仿宋_GB2312" w:eastAsia="仿宋_GB2312" w:cs="仿宋_GB2312"/>
          <w:b w:val="0"/>
          <w:bCs w:val="0"/>
          <w:i w:val="0"/>
          <w:caps w:val="0"/>
          <w:color w:val="auto"/>
          <w:spacing w:val="0"/>
          <w:sz w:val="32"/>
          <w:szCs w:val="32"/>
          <w:lang w:val="en-US" w:eastAsia="zh-CN"/>
        </w:rPr>
        <w:t>隐患问题，及时整改。四是加强车辆管理。为确保车辆的安全运行，加强所有车辆的维修保养，杜绝车辆带病作业。</w:t>
      </w:r>
    </w:p>
    <w:p w14:paraId="7A04EBE5">
      <w:pPr>
        <w:keepNext/>
        <w:keepLines/>
        <w:pageBreakBefore w:val="0"/>
        <w:widowControl w:val="0"/>
        <w:numPr>
          <w:ilvl w:val="0"/>
          <w:numId w:val="1"/>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存在的问题及原因分析</w:t>
      </w:r>
    </w:p>
    <w:p w14:paraId="1B455A97">
      <w:pPr>
        <w:keepNext/>
        <w:keepLines/>
        <w:pageBreakBefore w:val="0"/>
        <w:widowControl w:val="0"/>
        <w:numPr>
          <w:ilvl w:val="0"/>
          <w:numId w:val="4"/>
        </w:numPr>
        <w:kinsoku/>
        <w:wordWrap/>
        <w:overflowPunct/>
        <w:topLinePunct w:val="0"/>
        <w:autoSpaceDE/>
        <w:autoSpaceDN/>
        <w:bidi w:val="0"/>
        <w:adjustRightInd/>
        <w:spacing w:line="592" w:lineRule="exact"/>
        <w:ind w:left="-40" w:leftChars="0" w:firstLine="640" w:firstLineChars="0"/>
        <w:jc w:val="both"/>
        <w:textAlignment w:val="auto"/>
        <w:outlineLvl w:val="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年初预算绩效目标指标不够细化、量化。</w:t>
      </w:r>
    </w:p>
    <w:p w14:paraId="788CC31D">
      <w:pPr>
        <w:keepNext/>
        <w:keepLines/>
        <w:pageBreakBefore w:val="0"/>
        <w:widowControl w:val="0"/>
        <w:numPr>
          <w:ilvl w:val="0"/>
          <w:numId w:val="4"/>
        </w:numPr>
        <w:kinsoku/>
        <w:wordWrap/>
        <w:overflowPunct/>
        <w:topLinePunct w:val="0"/>
        <w:autoSpaceDE/>
        <w:autoSpaceDN/>
        <w:bidi w:val="0"/>
        <w:adjustRightInd/>
        <w:spacing w:line="592" w:lineRule="exact"/>
        <w:ind w:left="-40" w:leftChars="0" w:firstLine="640" w:firstLineChars="0"/>
        <w:jc w:val="both"/>
        <w:textAlignment w:val="auto"/>
        <w:outlineLvl w:val="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部分指标设置有待进一步完善和优化。</w:t>
      </w:r>
    </w:p>
    <w:p w14:paraId="61D4E0D1">
      <w:pPr>
        <w:keepNext/>
        <w:keepLines/>
        <w:pageBreakBefore w:val="0"/>
        <w:widowControl w:val="0"/>
        <w:numPr>
          <w:ilvl w:val="0"/>
          <w:numId w:val="1"/>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下一步改进措施</w:t>
      </w:r>
    </w:p>
    <w:p w14:paraId="55FA2EDC">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（一）加强预算绩效管理</w:t>
      </w:r>
    </w:p>
    <w:p w14:paraId="1AD1DEC1">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加强绩效管理理念，将资金预算安排与绩效目标相结合，根据单位上年工作完成情况和下年度工作计划或中长期规划，细化、量化年初绩效目标，并将绩效目标与资金分配挂钩。</w:t>
      </w:r>
    </w:p>
    <w:p w14:paraId="637976E5">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（二）规范项目管理</w:t>
      </w:r>
    </w:p>
    <w:p w14:paraId="77729504">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加强绩效业务学习及培训，提高业务人员绩效管理意识，优化项目指标体系，进一步搞高预算绩效管理工作水平。</w:t>
      </w:r>
    </w:p>
    <w:p w14:paraId="1D5B3392">
      <w:pPr>
        <w:pStyle w:val="3"/>
        <w:rPr>
          <w:rFonts w:hint="eastAsia" w:ascii="仿宋" w:hAnsi="仿宋" w:eastAsia="仿宋" w:cs="仿宋"/>
          <w:color w:val="auto"/>
          <w:lang w:val="en-US" w:eastAsia="zh-CN"/>
        </w:rPr>
      </w:pPr>
      <w:r>
        <w:rPr>
          <w:rFonts w:hint="eastAsia" w:ascii="仿宋" w:hAnsi="仿宋" w:eastAsia="仿宋" w:cs="仿宋"/>
          <w:b w:val="0"/>
          <w:bCs w:val="0"/>
          <w:color w:val="auto"/>
          <w:kern w:val="2"/>
          <w:sz w:val="32"/>
          <w:szCs w:val="32"/>
          <w:highlight w:val="none"/>
          <w:lang w:val="en-US" w:eastAsia="zh-CN" w:bidi="ar-SA"/>
        </w:rPr>
        <w:t xml:space="preserve">    </w:t>
      </w:r>
    </w:p>
    <w:p w14:paraId="045E0AF5">
      <w:pPr>
        <w:keepNext/>
        <w:keepLines/>
        <w:pageBreakBefore w:val="0"/>
        <w:widowControl w:val="0"/>
        <w:numPr>
          <w:ilvl w:val="0"/>
          <w:numId w:val="1"/>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其他需要说明的情况</w:t>
      </w:r>
    </w:p>
    <w:p w14:paraId="41E5494E">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无</w:t>
      </w:r>
    </w:p>
    <w:p w14:paraId="425F799B">
      <w:pPr>
        <w:snapToGrid w:val="0"/>
        <w:spacing w:line="580" w:lineRule="exact"/>
        <w:ind w:firstLine="600" w:firstLineChars="200"/>
        <w:jc w:val="right"/>
        <w:rPr>
          <w:rFonts w:hint="eastAsia" w:ascii="仿宋" w:hAnsi="仿宋" w:eastAsia="仿宋" w:cs="仿宋"/>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BA8D1"/>
    <w:multiLevelType w:val="singleLevel"/>
    <w:tmpl w:val="D89BA8D1"/>
    <w:lvl w:ilvl="0" w:tentative="0">
      <w:start w:val="1"/>
      <w:numFmt w:val="chineseCounting"/>
      <w:suff w:val="nothing"/>
      <w:lvlText w:val="（%1）"/>
      <w:lvlJc w:val="left"/>
      <w:rPr>
        <w:rFonts w:hint="eastAsia"/>
      </w:rPr>
    </w:lvl>
  </w:abstractNum>
  <w:abstractNum w:abstractNumId="1">
    <w:nsid w:val="ECE3C20C"/>
    <w:multiLevelType w:val="singleLevel"/>
    <w:tmpl w:val="ECE3C20C"/>
    <w:lvl w:ilvl="0" w:tentative="0">
      <w:start w:val="1"/>
      <w:numFmt w:val="chineseCounting"/>
      <w:suff w:val="nothing"/>
      <w:lvlText w:val="%1、"/>
      <w:lvlJc w:val="left"/>
      <w:pPr>
        <w:ind w:left="-3"/>
      </w:pPr>
      <w:rPr>
        <w:rFonts w:hint="eastAsia"/>
      </w:rPr>
    </w:lvl>
  </w:abstractNum>
  <w:abstractNum w:abstractNumId="2">
    <w:nsid w:val="5076FBE0"/>
    <w:multiLevelType w:val="singleLevel"/>
    <w:tmpl w:val="5076FBE0"/>
    <w:lvl w:ilvl="0" w:tentative="0">
      <w:start w:val="1"/>
      <w:numFmt w:val="chineseCounting"/>
      <w:suff w:val="nothing"/>
      <w:lvlText w:val="（%1）"/>
      <w:lvlJc w:val="left"/>
      <w:rPr>
        <w:rFonts w:hint="eastAsia"/>
      </w:rPr>
    </w:lvl>
  </w:abstractNum>
  <w:abstractNum w:abstractNumId="3">
    <w:nsid w:val="55148919"/>
    <w:multiLevelType w:val="singleLevel"/>
    <w:tmpl w:val="55148919"/>
    <w:lvl w:ilvl="0" w:tentative="0">
      <w:start w:val="1"/>
      <w:numFmt w:val="decimal"/>
      <w:suff w:val="nothing"/>
      <w:lvlText w:val="%1、"/>
      <w:lvlJc w:val="left"/>
      <w:pPr>
        <w:ind w:left="-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HorizontalSpacing w:val="150"/>
  <w:drawingGridVerticalSpacing w:val="5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OWM0MDg5MmM3OTVkZTBjMjNlNDA3OTk4MGI0MjQifQ=="/>
  </w:docVars>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C2557"/>
    <w:rsid w:val="002E5562"/>
    <w:rsid w:val="002F6705"/>
    <w:rsid w:val="00301FC0"/>
    <w:rsid w:val="00336A16"/>
    <w:rsid w:val="003663A3"/>
    <w:rsid w:val="00387DD5"/>
    <w:rsid w:val="003B0980"/>
    <w:rsid w:val="003C6374"/>
    <w:rsid w:val="003D2CB9"/>
    <w:rsid w:val="00413F12"/>
    <w:rsid w:val="0048585D"/>
    <w:rsid w:val="00493012"/>
    <w:rsid w:val="004D2137"/>
    <w:rsid w:val="005D1514"/>
    <w:rsid w:val="005D7CC3"/>
    <w:rsid w:val="006218A1"/>
    <w:rsid w:val="00682A10"/>
    <w:rsid w:val="006A30E4"/>
    <w:rsid w:val="006A74BF"/>
    <w:rsid w:val="006C1CEE"/>
    <w:rsid w:val="006D30B3"/>
    <w:rsid w:val="006D5A86"/>
    <w:rsid w:val="00707C2E"/>
    <w:rsid w:val="00722A7D"/>
    <w:rsid w:val="00724A6B"/>
    <w:rsid w:val="0073331B"/>
    <w:rsid w:val="00733C2D"/>
    <w:rsid w:val="00756C7F"/>
    <w:rsid w:val="00760106"/>
    <w:rsid w:val="007D7E6E"/>
    <w:rsid w:val="00850797"/>
    <w:rsid w:val="00853FC4"/>
    <w:rsid w:val="008720F1"/>
    <w:rsid w:val="00882EFA"/>
    <w:rsid w:val="008A3578"/>
    <w:rsid w:val="008B2F56"/>
    <w:rsid w:val="008F0996"/>
    <w:rsid w:val="00903791"/>
    <w:rsid w:val="009600BD"/>
    <w:rsid w:val="00961C83"/>
    <w:rsid w:val="009922BC"/>
    <w:rsid w:val="009E0D8C"/>
    <w:rsid w:val="00A02AF3"/>
    <w:rsid w:val="00A25077"/>
    <w:rsid w:val="00A610CC"/>
    <w:rsid w:val="00A8737E"/>
    <w:rsid w:val="00A90AEE"/>
    <w:rsid w:val="00AA19AF"/>
    <w:rsid w:val="00BC6882"/>
    <w:rsid w:val="00BD3FE0"/>
    <w:rsid w:val="00BE58CF"/>
    <w:rsid w:val="00CA5578"/>
    <w:rsid w:val="00CA7DAA"/>
    <w:rsid w:val="00D04826"/>
    <w:rsid w:val="00D63908"/>
    <w:rsid w:val="00D8718A"/>
    <w:rsid w:val="00D93453"/>
    <w:rsid w:val="00DC524D"/>
    <w:rsid w:val="00DF3633"/>
    <w:rsid w:val="00E071D6"/>
    <w:rsid w:val="00E74EF1"/>
    <w:rsid w:val="00ED3E0F"/>
    <w:rsid w:val="00F015E4"/>
    <w:rsid w:val="00F57F82"/>
    <w:rsid w:val="00F75224"/>
    <w:rsid w:val="00F91EAE"/>
    <w:rsid w:val="00FA086C"/>
    <w:rsid w:val="00FA2093"/>
    <w:rsid w:val="00FA357A"/>
    <w:rsid w:val="01BB3CD7"/>
    <w:rsid w:val="02E81CE7"/>
    <w:rsid w:val="037D0BC8"/>
    <w:rsid w:val="04611352"/>
    <w:rsid w:val="07E81E49"/>
    <w:rsid w:val="0845082D"/>
    <w:rsid w:val="09880D74"/>
    <w:rsid w:val="09D23567"/>
    <w:rsid w:val="09E965F2"/>
    <w:rsid w:val="0CBD6B8D"/>
    <w:rsid w:val="0FF7AA4F"/>
    <w:rsid w:val="10A13F42"/>
    <w:rsid w:val="139840D3"/>
    <w:rsid w:val="13CD6931"/>
    <w:rsid w:val="143E091F"/>
    <w:rsid w:val="14865FC8"/>
    <w:rsid w:val="150C2DB0"/>
    <w:rsid w:val="15A24B3A"/>
    <w:rsid w:val="16474597"/>
    <w:rsid w:val="19A5109C"/>
    <w:rsid w:val="1A7D29EA"/>
    <w:rsid w:val="1D994BCF"/>
    <w:rsid w:val="1E136CA9"/>
    <w:rsid w:val="1E761F05"/>
    <w:rsid w:val="1F7BE1E6"/>
    <w:rsid w:val="1FC7205C"/>
    <w:rsid w:val="228B3D05"/>
    <w:rsid w:val="23E114B7"/>
    <w:rsid w:val="24E820E9"/>
    <w:rsid w:val="259B27F9"/>
    <w:rsid w:val="26174551"/>
    <w:rsid w:val="26323CB8"/>
    <w:rsid w:val="264A5902"/>
    <w:rsid w:val="279F537D"/>
    <w:rsid w:val="284E74F8"/>
    <w:rsid w:val="28F821AF"/>
    <w:rsid w:val="2ADB48E8"/>
    <w:rsid w:val="3076553A"/>
    <w:rsid w:val="343F23BC"/>
    <w:rsid w:val="36687282"/>
    <w:rsid w:val="367793B2"/>
    <w:rsid w:val="369B0C8F"/>
    <w:rsid w:val="3794FC37"/>
    <w:rsid w:val="385D37E7"/>
    <w:rsid w:val="38EF7AD8"/>
    <w:rsid w:val="3E1672E6"/>
    <w:rsid w:val="3EB9C2BB"/>
    <w:rsid w:val="3F5C34BC"/>
    <w:rsid w:val="3FCF203E"/>
    <w:rsid w:val="3FEF6A07"/>
    <w:rsid w:val="40AA2675"/>
    <w:rsid w:val="415F08D8"/>
    <w:rsid w:val="41723177"/>
    <w:rsid w:val="426C6A3B"/>
    <w:rsid w:val="42B4482C"/>
    <w:rsid w:val="44E2230F"/>
    <w:rsid w:val="46304984"/>
    <w:rsid w:val="476114CA"/>
    <w:rsid w:val="478B1022"/>
    <w:rsid w:val="47C72DCF"/>
    <w:rsid w:val="48B51347"/>
    <w:rsid w:val="491B45FA"/>
    <w:rsid w:val="4A55216A"/>
    <w:rsid w:val="4FE0696A"/>
    <w:rsid w:val="52651145"/>
    <w:rsid w:val="52A71CFB"/>
    <w:rsid w:val="52B521DF"/>
    <w:rsid w:val="5330617C"/>
    <w:rsid w:val="546F8569"/>
    <w:rsid w:val="55673508"/>
    <w:rsid w:val="57790E65"/>
    <w:rsid w:val="59595A6F"/>
    <w:rsid w:val="596E5CC6"/>
    <w:rsid w:val="597350B8"/>
    <w:rsid w:val="599330CA"/>
    <w:rsid w:val="5A7FCB1F"/>
    <w:rsid w:val="5B7D4764"/>
    <w:rsid w:val="5D4D4B30"/>
    <w:rsid w:val="5E4853B5"/>
    <w:rsid w:val="5FEAF7C9"/>
    <w:rsid w:val="60CB36B3"/>
    <w:rsid w:val="60D5009F"/>
    <w:rsid w:val="633E16F6"/>
    <w:rsid w:val="64AC2E11"/>
    <w:rsid w:val="659D4FAD"/>
    <w:rsid w:val="660721C9"/>
    <w:rsid w:val="661E6C75"/>
    <w:rsid w:val="67F75FF5"/>
    <w:rsid w:val="681D4831"/>
    <w:rsid w:val="692E4B19"/>
    <w:rsid w:val="69513EF7"/>
    <w:rsid w:val="6BF3256F"/>
    <w:rsid w:val="6BF95985"/>
    <w:rsid w:val="6C5C2C43"/>
    <w:rsid w:val="6CE7018A"/>
    <w:rsid w:val="6D094CC7"/>
    <w:rsid w:val="6E3E3F2D"/>
    <w:rsid w:val="6EAA487D"/>
    <w:rsid w:val="6F782E18"/>
    <w:rsid w:val="6F7B6738"/>
    <w:rsid w:val="712A5EF5"/>
    <w:rsid w:val="715B2F02"/>
    <w:rsid w:val="73802858"/>
    <w:rsid w:val="74CC6CCE"/>
    <w:rsid w:val="76A548F2"/>
    <w:rsid w:val="7765772E"/>
    <w:rsid w:val="776F5E62"/>
    <w:rsid w:val="77867685"/>
    <w:rsid w:val="77951FBF"/>
    <w:rsid w:val="77EE7FE7"/>
    <w:rsid w:val="781F36B6"/>
    <w:rsid w:val="790627AD"/>
    <w:rsid w:val="79DFF8C4"/>
    <w:rsid w:val="79F1701B"/>
    <w:rsid w:val="7A301431"/>
    <w:rsid w:val="7ADC59FA"/>
    <w:rsid w:val="7AFF2FC3"/>
    <w:rsid w:val="7B431629"/>
    <w:rsid w:val="7B7A77E1"/>
    <w:rsid w:val="7BF6B4C5"/>
    <w:rsid w:val="7D324F38"/>
    <w:rsid w:val="7D94764A"/>
    <w:rsid w:val="7DDD794F"/>
    <w:rsid w:val="7DFA6624"/>
    <w:rsid w:val="7DFD8AD7"/>
    <w:rsid w:val="7DFEFB95"/>
    <w:rsid w:val="7ECD6B9A"/>
    <w:rsid w:val="7FBA576D"/>
    <w:rsid w:val="7FDE47D5"/>
    <w:rsid w:val="7FFD003D"/>
    <w:rsid w:val="94BFC172"/>
    <w:rsid w:val="9BFA614C"/>
    <w:rsid w:val="BAFE1E17"/>
    <w:rsid w:val="BBDF5B5A"/>
    <w:rsid w:val="BBE428C2"/>
    <w:rsid w:val="BFBF52D7"/>
    <w:rsid w:val="DF6E82F1"/>
    <w:rsid w:val="DFCEE0CE"/>
    <w:rsid w:val="DFFF7077"/>
    <w:rsid w:val="EEBF76D9"/>
    <w:rsid w:val="F36EF6AC"/>
    <w:rsid w:val="F6FDCC0E"/>
    <w:rsid w:val="F767D450"/>
    <w:rsid w:val="F76FB1DB"/>
    <w:rsid w:val="F7FBEBBF"/>
    <w:rsid w:val="F9F3FBF0"/>
    <w:rsid w:val="FB9F8FA2"/>
    <w:rsid w:val="FDB5389F"/>
    <w:rsid w:val="FFAFB80B"/>
    <w:rsid w:val="FFF9F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4">
    <w:name w:val="heading 1"/>
    <w:basedOn w:val="1"/>
    <w:next w:val="1"/>
    <w:qFormat/>
    <w:uiPriority w:val="0"/>
    <w:pPr>
      <w:keepNext/>
      <w:keepLines/>
      <w:spacing w:before="340" w:after="330" w:line="578" w:lineRule="atLeast"/>
      <w:outlineLvl w:val="0"/>
    </w:pPr>
    <w:rPr>
      <w:b/>
      <w:bCs/>
      <w:kern w:val="44"/>
      <w:sz w:val="44"/>
      <w:szCs w:val="44"/>
    </w:rPr>
  </w:style>
  <w:style w:type="paragraph" w:styleId="5">
    <w:name w:val="heading 2"/>
    <w:basedOn w:val="1"/>
    <w:next w:val="6"/>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664"/>
    </w:pPr>
  </w:style>
  <w:style w:type="paragraph" w:styleId="3">
    <w:name w:val="Body Text"/>
    <w:basedOn w:val="1"/>
    <w:next w:val="1"/>
    <w:qFormat/>
    <w:uiPriority w:val="0"/>
    <w:rPr>
      <w:rFonts w:eastAsia="仿宋_GB2312"/>
      <w:sz w:val="32"/>
      <w:szCs w:val="20"/>
    </w:rPr>
  </w:style>
  <w:style w:type="paragraph" w:styleId="6">
    <w:name w:val="Normal Indent"/>
    <w:basedOn w:val="1"/>
    <w:unhideWhenUsed/>
    <w:qFormat/>
    <w:uiPriority w:val="0"/>
    <w:pPr>
      <w:ind w:firstLine="880" w:firstLineChars="200"/>
    </w:pPr>
  </w:style>
  <w:style w:type="paragraph" w:styleId="7">
    <w:name w:val="Body Text Indent"/>
    <w:basedOn w:val="1"/>
    <w:qFormat/>
    <w:uiPriority w:val="0"/>
    <w:pPr>
      <w:spacing w:after="120"/>
      <w:ind w:left="420" w:leftChars="200"/>
    </w:pPr>
  </w:style>
  <w:style w:type="paragraph" w:styleId="8">
    <w:name w:val="Balloon Text"/>
    <w:basedOn w:val="1"/>
    <w:link w:val="19"/>
    <w:qFormat/>
    <w:uiPriority w:val="0"/>
    <w:rPr>
      <w:sz w:val="18"/>
      <w:szCs w:val="18"/>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next w:val="1"/>
    <w:qFormat/>
    <w:uiPriority w:val="0"/>
    <w:pPr>
      <w:spacing w:before="100" w:beforeAutospacing="1" w:after="0"/>
      <w:ind w:left="0" w:firstLine="420" w:firstLineChars="200"/>
    </w:pPr>
    <w:rPr>
      <w:rFonts w:ascii="Calibri" w:hAnsi="Calibri"/>
    </w:rPr>
  </w:style>
  <w:style w:type="character" w:styleId="15">
    <w:name w:val="Strong"/>
    <w:basedOn w:val="14"/>
    <w:qFormat/>
    <w:uiPriority w:val="0"/>
    <w:rPr>
      <w:b/>
    </w:rPr>
  </w:style>
  <w:style w:type="character" w:styleId="16">
    <w:name w:val="Emphasis"/>
    <w:basedOn w:val="14"/>
    <w:qFormat/>
    <w:uiPriority w:val="0"/>
    <w:rPr>
      <w:i/>
    </w:rPr>
  </w:style>
  <w:style w:type="character" w:customStyle="1" w:styleId="17">
    <w:name w:val="页脚 Char"/>
    <w:basedOn w:val="14"/>
    <w:link w:val="9"/>
    <w:qFormat/>
    <w:uiPriority w:val="99"/>
    <w:rPr>
      <w:rFonts w:eastAsia="仿宋_GB2312"/>
      <w:kern w:val="2"/>
      <w:sz w:val="18"/>
      <w:szCs w:val="18"/>
    </w:rPr>
  </w:style>
  <w:style w:type="character" w:customStyle="1" w:styleId="18">
    <w:name w:val="页眉 Char"/>
    <w:basedOn w:val="14"/>
    <w:link w:val="10"/>
    <w:qFormat/>
    <w:uiPriority w:val="0"/>
    <w:rPr>
      <w:rFonts w:eastAsia="仿宋_GB2312"/>
      <w:kern w:val="2"/>
      <w:sz w:val="18"/>
      <w:szCs w:val="18"/>
    </w:rPr>
  </w:style>
  <w:style w:type="character" w:customStyle="1" w:styleId="19">
    <w:name w:val="批注框文本 Char"/>
    <w:basedOn w:val="14"/>
    <w:link w:val="8"/>
    <w:qFormat/>
    <w:uiPriority w:val="0"/>
    <w:rPr>
      <w:rFonts w:eastAsia="仿宋_GB2312"/>
      <w:kern w:val="2"/>
      <w:sz w:val="18"/>
      <w:szCs w:val="18"/>
    </w:rPr>
  </w:style>
  <w:style w:type="character" w:customStyle="1" w:styleId="20">
    <w:name w:val="font41"/>
    <w:basedOn w:val="14"/>
    <w:qFormat/>
    <w:uiPriority w:val="0"/>
    <w:rPr>
      <w:rFonts w:hint="eastAsia" w:ascii="方正仿宋_GB2312" w:hAnsi="方正仿宋_GB2312" w:eastAsia="方正仿宋_GB2312" w:cs="方正仿宋_GB2312"/>
      <w:color w:val="000000"/>
      <w:sz w:val="21"/>
      <w:szCs w:val="21"/>
      <w:u w:val="none"/>
    </w:rPr>
  </w:style>
  <w:style w:type="character" w:customStyle="1" w:styleId="21">
    <w:name w:val="font11"/>
    <w:basedOn w:val="14"/>
    <w:qFormat/>
    <w:uiPriority w:val="0"/>
    <w:rPr>
      <w:rFonts w:hint="default" w:ascii="仿宋_GB2312" w:eastAsia="仿宋_GB2312" w:cs="仿宋_GB2312"/>
      <w:color w:val="000000"/>
      <w:sz w:val="20"/>
      <w:szCs w:val="20"/>
      <w:u w:val="none"/>
    </w:rPr>
  </w:style>
  <w:style w:type="character" w:customStyle="1" w:styleId="22">
    <w:name w:val="font01"/>
    <w:basedOn w:val="14"/>
    <w:qFormat/>
    <w:uiPriority w:val="0"/>
    <w:rPr>
      <w:rFonts w:hint="eastAsia" w:ascii="等线" w:hAnsi="等线" w:eastAsia="等线" w:cs="等线"/>
      <w:color w:val="000000"/>
      <w:sz w:val="22"/>
      <w:szCs w:val="22"/>
      <w:u w:val="none"/>
    </w:rPr>
  </w:style>
  <w:style w:type="character" w:customStyle="1" w:styleId="23">
    <w:name w:val="font31"/>
    <w:basedOn w:val="14"/>
    <w:qFormat/>
    <w:uiPriority w:val="0"/>
    <w:rPr>
      <w:rFonts w:hint="default" w:ascii="方正仿宋_GB2312" w:hAnsi="方正仿宋_GB2312" w:eastAsia="方正仿宋_GB2312" w:cs="方正仿宋_GB2312"/>
      <w:color w:val="000000"/>
      <w:sz w:val="21"/>
      <w:szCs w:val="21"/>
      <w:u w:val="none"/>
    </w:rPr>
  </w:style>
  <w:style w:type="character" w:customStyle="1" w:styleId="24">
    <w:name w:val="font21"/>
    <w:basedOn w:val="14"/>
    <w:qFormat/>
    <w:uiPriority w:val="0"/>
    <w:rPr>
      <w:rFonts w:hint="default" w:ascii="方正仿宋_GB2312" w:hAnsi="方正仿宋_GB2312" w:eastAsia="方正仿宋_GB2312" w:cs="方正仿宋_GB2312"/>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3262</Words>
  <Characters>3408</Characters>
  <Lines>3</Lines>
  <Paragraphs>1</Paragraphs>
  <TotalTime>0</TotalTime>
  <ScaleCrop>false</ScaleCrop>
  <LinksUpToDate>false</LinksUpToDate>
  <CharactersWithSpaces>3413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2019-02-17T06:26:00Z</dcterms:created>
  <dc:creator>lhn</dc:creator>
  <cp:lastModifiedBy>Administrator</cp:lastModifiedBy>
  <cp:lastPrinted>2023-02-24T17:51:00Z</cp:lastPrinted>
  <dcterms:modified xsi:type="dcterms:W3CDTF">2025-08-28T07:59:58Z</dcterms:modified>
  <dc:title>财政支出绩效评价报告</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0935356AF02747749E2DA0616255CEA9_13</vt:lpwstr>
  </property>
  <property fmtid="{D5CDD505-2E9C-101B-9397-08002B2CF9AE}" pid="4" name="KSOTemplateDocerSaveRecord">
    <vt:lpwstr>eyJoZGlkIjoiYTJhNTg4NDRhODFiNDgyZWI3OTU4ZDE5Nzg2NjZkY2EifQ==</vt:lpwstr>
  </property>
</Properties>
</file>