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6E291">
      <w:pPr>
        <w:jc w:val="center"/>
        <w:rPr>
          <w:rFonts w:ascii="Times New Roman" w:hAnsi="Times New Roman" w:eastAsia="方正小标宋_GBK" w:cs="Times New Roman"/>
          <w:sz w:val="52"/>
          <w:szCs w:val="52"/>
        </w:rPr>
      </w:pPr>
    </w:p>
    <w:p w14:paraId="3EF2A54B">
      <w:pPr>
        <w:jc w:val="center"/>
        <w:rPr>
          <w:rFonts w:ascii="Times New Roman" w:hAnsi="Times New Roman" w:eastAsia="方正小标宋_GBK" w:cs="Times New Roman"/>
          <w:sz w:val="52"/>
          <w:szCs w:val="52"/>
        </w:rPr>
      </w:pPr>
    </w:p>
    <w:p w14:paraId="7BCD83C8">
      <w:pPr>
        <w:jc w:val="center"/>
        <w:rPr>
          <w:rFonts w:ascii="Times New Roman" w:hAnsi="Times New Roman" w:eastAsia="方正小标宋_GBK" w:cs="Times New Roman"/>
          <w:sz w:val="52"/>
          <w:szCs w:val="52"/>
        </w:rPr>
      </w:pPr>
    </w:p>
    <w:p w14:paraId="37A59C72">
      <w:pPr>
        <w:jc w:val="center"/>
        <w:rPr>
          <w:rFonts w:ascii="Times New Roman" w:hAnsi="Times New Roman" w:eastAsia="方正小标宋_GBK" w:cs="Times New Roman"/>
          <w:sz w:val="52"/>
          <w:szCs w:val="52"/>
        </w:rPr>
      </w:pPr>
    </w:p>
    <w:p w14:paraId="3CB6230D">
      <w:pPr>
        <w:jc w:val="center"/>
        <w:rPr>
          <w:rFonts w:ascii="Times New Roman" w:hAnsi="Times New Roman" w:eastAsia="方正小标宋_GBK" w:cs="Times New Roman"/>
          <w:sz w:val="52"/>
          <w:szCs w:val="52"/>
        </w:rPr>
      </w:pPr>
      <w:bookmarkStart w:id="0" w:name="OLE_LINK3"/>
      <w:r>
        <w:rPr>
          <w:rFonts w:ascii="Times New Roman" w:hAnsi="Times New Roman" w:eastAsia="方正小标宋_GBK" w:cs="Times New Roman"/>
          <w:sz w:val="52"/>
          <w:szCs w:val="52"/>
        </w:rPr>
        <w:t>2024</w:t>
      </w:r>
      <w:r>
        <w:rPr>
          <w:rFonts w:ascii="方正小标宋_GBK" w:hAnsi="Times New Roman" w:eastAsia="方正小标宋_GBK" w:cs="Times New Roman"/>
          <w:sz w:val="52"/>
          <w:szCs w:val="52"/>
        </w:rPr>
        <w:t>年</w:t>
      </w:r>
      <w:r>
        <w:rPr>
          <w:rFonts w:hint="eastAsia" w:ascii="方正小标宋_GBK" w:hAnsi="Times New Roman" w:eastAsia="方正小标宋_GBK" w:cs="Times New Roman"/>
          <w:sz w:val="52"/>
          <w:szCs w:val="52"/>
        </w:rPr>
        <w:t>度</w:t>
      </w:r>
      <w:r>
        <w:rPr>
          <w:rFonts w:hint="eastAsia" w:ascii="Times New Roman" w:hAnsi="Times New Roman" w:eastAsia="方正小标宋_GBK" w:cs="Times New Roman"/>
          <w:sz w:val="52"/>
          <w:szCs w:val="52"/>
        </w:rPr>
        <w:t>常宁市财政局</w:t>
      </w:r>
      <w:r>
        <w:rPr>
          <w:rFonts w:ascii="方正小标宋_GBK" w:hAnsi="Times New Roman" w:eastAsia="方正小标宋_GBK" w:cs="Times New Roman"/>
          <w:sz w:val="52"/>
          <w:szCs w:val="52"/>
        </w:rPr>
        <w:t>部门整体支出绩效自评报告</w:t>
      </w:r>
    </w:p>
    <w:bookmarkEnd w:id="0"/>
    <w:p w14:paraId="3F53A1EF">
      <w:pPr>
        <w:jc w:val="center"/>
        <w:rPr>
          <w:rFonts w:ascii="Times New Roman" w:hAnsi="Times New Roman" w:eastAsia="方正小标宋_GBK" w:cs="Times New Roman"/>
          <w:b/>
          <w:sz w:val="52"/>
          <w:szCs w:val="52"/>
        </w:rPr>
      </w:pPr>
      <w:r>
        <w:rPr>
          <w:rFonts w:ascii="Times New Roman" w:hAnsi="Times New Roman" w:eastAsia="方正小标宋_GBK" w:cs="Times New Roman"/>
          <w:b/>
          <w:sz w:val="52"/>
          <w:szCs w:val="52"/>
        </w:rPr>
        <w:t xml:space="preserve"> </w:t>
      </w:r>
    </w:p>
    <w:p w14:paraId="52D080FC">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3EF9BDDA">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47AE6FF4">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1BADC96B">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5AFE8A0F">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4975577A">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7412404E">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50C90860">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3B7D38BB">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5E0AA0E2">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32CDACA0">
      <w:pPr>
        <w:spacing w:line="600" w:lineRule="exact"/>
        <w:ind w:firstLine="1920" w:firstLineChars="600"/>
        <w:rPr>
          <w:rFonts w:ascii="Times New Roman" w:hAnsi="Times New Roman" w:eastAsia="仿宋_GB2312" w:cs="Times New Roman"/>
          <w:sz w:val="32"/>
          <w:szCs w:val="32"/>
          <w:u w:val="single"/>
        </w:rPr>
      </w:pPr>
      <w:r>
        <w:rPr>
          <w:rFonts w:ascii="仿宋_GB2312" w:hAnsi="Times New Roman" w:eastAsia="仿宋_GB2312" w:cs="Times New Roman"/>
          <w:sz w:val="32"/>
          <w:szCs w:val="32"/>
        </w:rPr>
        <w:t>部门（单位）名称：</w:t>
      </w:r>
      <w:r>
        <w:rPr>
          <w:rFonts w:hint="eastAsia" w:ascii="仿宋_GB2312" w:hAnsi="Times New Roman" w:eastAsia="仿宋_GB2312" w:cs="Times New Roman"/>
          <w:sz w:val="32"/>
          <w:szCs w:val="32"/>
          <w:u w:val="single"/>
        </w:rPr>
        <w:t>常宁市财政局</w:t>
      </w:r>
      <w:r>
        <w:rPr>
          <w:rFonts w:ascii="Times New Roman" w:hAnsi="Times New Roman" w:eastAsia="仿宋_GB2312" w:cs="Times New Roman"/>
          <w:sz w:val="32"/>
          <w:szCs w:val="32"/>
          <w:u w:val="single"/>
        </w:rPr>
        <w:t xml:space="preserve"> </w:t>
      </w:r>
    </w:p>
    <w:p w14:paraId="1700032F">
      <w:pPr>
        <w:spacing w:line="600" w:lineRule="exact"/>
        <w:ind w:firstLine="3200" w:firstLineChars="1000"/>
        <w:rPr>
          <w:rFonts w:ascii="Times New Roman" w:hAnsi="Times New Roman" w:eastAsia="楷体_GB2312" w:cs="Times New Roman"/>
          <w:sz w:val="32"/>
          <w:szCs w:val="32"/>
        </w:rPr>
      </w:pPr>
      <w:r>
        <w:rPr>
          <w:rFonts w:hint="eastAsia" w:ascii="楷体_GB2312" w:hAnsi="Times New Roman" w:eastAsia="楷体_GB2312" w:cs="Times New Roman"/>
          <w:sz w:val="32"/>
          <w:szCs w:val="32"/>
        </w:rPr>
        <w:t>2</w:t>
      </w:r>
      <w:r>
        <w:rPr>
          <w:rFonts w:ascii="楷体_GB2312" w:hAnsi="Times New Roman" w:eastAsia="楷体_GB2312" w:cs="Times New Roman"/>
          <w:sz w:val="32"/>
          <w:szCs w:val="32"/>
        </w:rPr>
        <w:t>025年</w:t>
      </w:r>
      <w:r>
        <w:rPr>
          <w:rFonts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8</w:t>
      </w:r>
      <w:r>
        <w:rPr>
          <w:rFonts w:ascii="Times New Roman" w:hAnsi="Times New Roman" w:eastAsia="楷体_GB2312" w:cs="Times New Roman"/>
          <w:sz w:val="32"/>
          <w:szCs w:val="32"/>
        </w:rPr>
        <w:t xml:space="preserve"> </w:t>
      </w:r>
      <w:r>
        <w:rPr>
          <w:rFonts w:ascii="楷体_GB2312" w:hAnsi="Times New Roman" w:eastAsia="楷体_GB2312" w:cs="Times New Roman"/>
          <w:sz w:val="32"/>
          <w:szCs w:val="32"/>
        </w:rPr>
        <w:t>月</w:t>
      </w:r>
      <w:r>
        <w:rPr>
          <w:rFonts w:ascii="Times New Roman" w:hAnsi="Times New Roman" w:eastAsia="楷体_GB2312" w:cs="Times New Roman"/>
          <w:sz w:val="32"/>
          <w:szCs w:val="32"/>
        </w:rPr>
        <w:t xml:space="preserve"> 2</w:t>
      </w:r>
      <w:r>
        <w:rPr>
          <w:rFonts w:hint="eastAsia" w:ascii="Times New Roman" w:hAnsi="Times New Roman" w:eastAsia="楷体_GB2312" w:cs="Times New Roman"/>
          <w:sz w:val="32"/>
          <w:szCs w:val="32"/>
          <w:lang w:val="en-US" w:eastAsia="zh-CN"/>
        </w:rPr>
        <w:t>7</w:t>
      </w:r>
      <w:bookmarkStart w:id="1" w:name="_GoBack"/>
      <w:bookmarkEnd w:id="1"/>
      <w:r>
        <w:rPr>
          <w:rFonts w:ascii="Times New Roman" w:hAnsi="Times New Roman" w:eastAsia="楷体_GB2312" w:cs="Times New Roman"/>
          <w:sz w:val="32"/>
          <w:szCs w:val="32"/>
        </w:rPr>
        <w:t xml:space="preserve"> </w:t>
      </w:r>
      <w:r>
        <w:rPr>
          <w:rFonts w:ascii="楷体_GB2312" w:hAnsi="Times New Roman" w:eastAsia="楷体_GB2312" w:cs="Times New Roman"/>
          <w:sz w:val="32"/>
          <w:szCs w:val="32"/>
        </w:rPr>
        <w:t>日</w:t>
      </w:r>
    </w:p>
    <w:p w14:paraId="0571B572">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1A095029">
      <w:pPr>
        <w:jc w:val="center"/>
        <w:rPr>
          <w:rFonts w:ascii="Times New Roman" w:hAnsi="Times New Roman" w:eastAsia="仿宋_GB2312" w:cs="Times New Roman"/>
        </w:rPr>
      </w:pPr>
      <w:r>
        <w:rPr>
          <w:rFonts w:ascii="Times New Roman" w:hAnsi="Times New Roman" w:eastAsia="仿宋_GB2312" w:cs="Times New Roman"/>
          <w:sz w:val="32"/>
          <w:szCs w:val="32"/>
        </w:rPr>
        <w:br w:type="page"/>
      </w:r>
    </w:p>
    <w:p w14:paraId="14BC74F4">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w:t>
      </w:r>
      <w:r>
        <w:rPr>
          <w:rFonts w:ascii="方正小标宋_GBK" w:hAnsi="Times New Roman" w:eastAsia="方正小标宋_GBK" w:cs="Times New Roman"/>
          <w:sz w:val="44"/>
          <w:szCs w:val="44"/>
        </w:rPr>
        <w:t>年</w:t>
      </w:r>
      <w:r>
        <w:rPr>
          <w:rFonts w:hint="eastAsia" w:ascii="方正小标宋_GBK" w:hAnsi="Times New Roman" w:eastAsia="方正小标宋_GBK" w:cs="Times New Roman"/>
          <w:sz w:val="44"/>
          <w:szCs w:val="44"/>
        </w:rPr>
        <w:t>度常宁市财政局</w:t>
      </w:r>
      <w:r>
        <w:rPr>
          <w:rFonts w:ascii="方正小标宋_GBK" w:hAnsi="Times New Roman" w:eastAsia="方正小标宋_GBK" w:cs="Times New Roman"/>
          <w:sz w:val="44"/>
          <w:szCs w:val="44"/>
        </w:rPr>
        <w:t>部门整体支出</w:t>
      </w:r>
    </w:p>
    <w:p w14:paraId="654325F9">
      <w:pPr>
        <w:jc w:val="center"/>
        <w:rPr>
          <w:rFonts w:ascii="Times New Roman" w:hAnsi="Times New Roman" w:eastAsia="方正小标宋_GBK" w:cs="Times New Roman"/>
          <w:sz w:val="44"/>
          <w:szCs w:val="44"/>
        </w:rPr>
      </w:pPr>
      <w:r>
        <w:rPr>
          <w:rFonts w:ascii="方正小标宋_GBK" w:hAnsi="Times New Roman" w:eastAsia="方正小标宋_GBK" w:cs="Times New Roman"/>
          <w:sz w:val="44"/>
          <w:szCs w:val="44"/>
        </w:rPr>
        <w:t>绩效自评报告</w:t>
      </w:r>
    </w:p>
    <w:p w14:paraId="55A05C10">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2EBA8610">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7F31B9D5">
      <w:pPr>
        <w:pStyle w:val="9"/>
        <w:numPr>
          <w:ilvl w:val="0"/>
          <w:numId w:val="1"/>
        </w:numPr>
        <w:spacing w:line="600" w:lineRule="exact"/>
        <w:ind w:firstLineChars="0"/>
        <w:rPr>
          <w:rFonts w:ascii="黑体" w:hAnsi="黑体" w:eastAsia="黑体" w:cs="Times New Roman"/>
          <w:sz w:val="32"/>
          <w:szCs w:val="32"/>
        </w:rPr>
      </w:pPr>
      <w:r>
        <w:rPr>
          <w:rFonts w:ascii="黑体" w:hAnsi="黑体" w:eastAsia="黑体" w:cs="Times New Roman"/>
          <w:sz w:val="32"/>
          <w:szCs w:val="32"/>
        </w:rPr>
        <w:t>部门基本情况</w:t>
      </w:r>
    </w:p>
    <w:p w14:paraId="6DBD8E93">
      <w:pPr>
        <w:pStyle w:val="9"/>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（一）职能职责</w:t>
      </w:r>
    </w:p>
    <w:p w14:paraId="04D97FFF">
      <w:pPr>
        <w:pStyle w:val="9"/>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1、贯彻执行国家和省财政有关预算、税收、财务会计等方针政策、法律法规和规章制度；分析预测全市经济形势，指导全市财政工作，拟定全市财政预算、地方税收、财务会计等方面的规章制度，并监督执行。    </w:t>
      </w:r>
    </w:p>
    <w:p w14:paraId="52F155BD">
      <w:pPr>
        <w:pStyle w:val="9"/>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市级财政收支管理工作；负责编制年度市级预算草案并组织执行；受市人民政府委托，向市人民代表大会报告全市和市级财政预算及执行情况，向市人民代表大会常务委员会报告财政决算；拟定经费开支标准额度、定额，负责审核批复部门（单位）的年度预决算。</w:t>
      </w:r>
    </w:p>
    <w:p w14:paraId="73A7BFEB">
      <w:pPr>
        <w:pStyle w:val="9"/>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3、负责政府非税收入管理；拟定彩票管理有关办法，管理彩票市场，按规定管理彩票资金。</w:t>
      </w:r>
    </w:p>
    <w:p w14:paraId="3C2ABD1A">
      <w:pPr>
        <w:pStyle w:val="9"/>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4、拟定国库管理制度、国库集中收付制度，指导和监督国库业务，按规定开展国库现金管理工作；拟定政府采购制度并监督管理。</w:t>
      </w:r>
    </w:p>
    <w:p w14:paraId="29AAC2F8">
      <w:pPr>
        <w:pStyle w:val="9"/>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5、按照管理权限，拟定有关税收调整方案并组织实施；拟定财政税收计划，提出税收减免、税目税率调整建议。</w:t>
      </w:r>
    </w:p>
    <w:p w14:paraId="589B1465">
      <w:pPr>
        <w:pStyle w:val="9"/>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6、拟定市级行政事业单位国有资产管理规章制度，并监督管理；拟定需要全市统一规定开支的标准及相关政策并监督实施；负责财政预算内行政机构、事业单位和社会团体财政预算内的其他收支管理。</w:t>
      </w:r>
    </w:p>
    <w:p w14:paraId="71BD3EEA">
      <w:pPr>
        <w:pStyle w:val="9"/>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审核和汇总编制市级国有资本经营预决算草案，拟定市级国有资本经营预算的制度和办法，收取市本级企业国有资本金收益，组织实施企业财务制度，参与拟定企业国有资产管理相关制度，按规定管理资产评估工作。</w:t>
      </w:r>
    </w:p>
    <w:p w14:paraId="77DC2FA3">
      <w:pPr>
        <w:pStyle w:val="9"/>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8、管理市级财政的经济发展支出，负责财政性投资项目资金及项目评审的相关工作；负责农业综合开发管理工作。</w:t>
      </w:r>
    </w:p>
    <w:p w14:paraId="2DC40AA0">
      <w:pPr>
        <w:pStyle w:val="9"/>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9、会同有关部门管理市财政社会保障和就业及医疗卫生支出；监督社会保障资金（基金）财务管理制度的落实；编制社会保障预决算草案。</w:t>
      </w:r>
    </w:p>
    <w:p w14:paraId="2BD1FFA4">
      <w:pPr>
        <w:pStyle w:val="9"/>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10、贯彻执行国家、省、市关于国际金融组织和外国政府贷款的各项方针、政策；负责管理政府债务。</w:t>
      </w:r>
    </w:p>
    <w:p w14:paraId="5CE3F7BC">
      <w:pPr>
        <w:pStyle w:val="9"/>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11、执行国家统一的会计制度，监督和规范会计行为，负责管理会计工作。</w:t>
      </w:r>
    </w:p>
    <w:p w14:paraId="08DE7DAB">
      <w:pPr>
        <w:pStyle w:val="9"/>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12、监督检查财税方针政策、财税法规的执行情况，提出加强财政管理的办法和建议；负责财政重大支出的绩效评估工作。</w:t>
      </w:r>
    </w:p>
    <w:p w14:paraId="55BD5014">
      <w:pPr>
        <w:pStyle w:val="9"/>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13、协调政府项目筹融资工作，加强对地方金融机构的财务监管。</w:t>
      </w:r>
    </w:p>
    <w:p w14:paraId="42D8B918">
      <w:pPr>
        <w:pStyle w:val="9"/>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14、负责全市财政系统信息化建设；开展财政科学研究；组织财政人员培训；负责财政信息和财政宣传工作。</w:t>
      </w:r>
    </w:p>
    <w:p w14:paraId="01A88641">
      <w:pPr>
        <w:pStyle w:val="9"/>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65A6C672">
      <w:pPr>
        <w:pStyle w:val="9"/>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设置。根据编委核定，我局内设股室我局内设股室24个，分别是：办公室、人事教育股、预算股、国库股、综合规划股、行政股、政法股、教科文股、经济建设股、自然资源和生态环境股、农业农村股、社会保障股、企业股、对外经济贸易股、会计股、工资发放管理中心、人民政府采购办公室、金融与债务股、财政监督和绩效评价股、资产管理股、农业信贷担保管理办公室、教育经费核算中心、财政网络信息中心、国有企业资产服务中心。所属事业单位5个,分别是：乡镇财政管理中心、财源收入中心、国库集中支付中心、财政事务中心、财政投资评审中心。</w:t>
      </w:r>
    </w:p>
    <w:p w14:paraId="40A8A5B7">
      <w:pPr>
        <w:pStyle w:val="9"/>
        <w:spacing w:line="600" w:lineRule="exact"/>
        <w:ind w:left="1360" w:firstLine="0" w:firstLineChars="0"/>
        <w:rPr>
          <w:rFonts w:hint="eastAsia" w:ascii="仿宋_GB2312" w:hAnsi="仿宋_GB2312" w:eastAsia="仿宋_GB2312" w:cs="仿宋_GB2312"/>
          <w:sz w:val="32"/>
          <w:szCs w:val="32"/>
        </w:rPr>
      </w:pPr>
    </w:p>
    <w:p w14:paraId="15542DDB">
      <w:pPr>
        <w:pStyle w:val="8"/>
        <w:widowControl/>
        <w:numPr>
          <w:ilvl w:val="0"/>
          <w:numId w:val="1"/>
        </w:numPr>
        <w:spacing w:line="600" w:lineRule="exact"/>
        <w:ind w:firstLine="0" w:firstLineChars="0"/>
        <w:rPr>
          <w:rFonts w:ascii="黑体" w:hAnsi="黑体" w:eastAsia="黑体" w:cs="Times New Roman"/>
          <w:sz w:val="32"/>
          <w:szCs w:val="32"/>
        </w:rPr>
      </w:pPr>
      <w:r>
        <w:rPr>
          <w:rFonts w:ascii="黑体" w:hAnsi="黑体" w:eastAsia="黑体" w:cs="Times New Roman"/>
          <w:sz w:val="32"/>
          <w:szCs w:val="32"/>
        </w:rPr>
        <w:t>一般公共预算支出情况</w:t>
      </w:r>
    </w:p>
    <w:p w14:paraId="7A16185E">
      <w:pPr>
        <w:pStyle w:val="8"/>
        <w:widowControl/>
        <w:numPr>
          <w:ilvl w:val="0"/>
          <w:numId w:val="2"/>
        </w:numPr>
        <w:spacing w:line="600" w:lineRule="exact"/>
        <w:ind w:firstLineChars="0"/>
        <w:rPr>
          <w:rFonts w:ascii="楷体_GB2312" w:hAnsi="Times New Roman" w:eastAsia="楷体_GB2312" w:cs="Times New Roman"/>
          <w:b/>
          <w:sz w:val="32"/>
          <w:szCs w:val="32"/>
        </w:rPr>
      </w:pPr>
      <w:r>
        <w:rPr>
          <w:rFonts w:ascii="楷体_GB2312" w:hAnsi="Times New Roman" w:eastAsia="楷体_GB2312" w:cs="Times New Roman"/>
          <w:b/>
          <w:sz w:val="32"/>
          <w:szCs w:val="32"/>
        </w:rPr>
        <w:t>基本支出情况</w:t>
      </w:r>
    </w:p>
    <w:p w14:paraId="3F23302B">
      <w:pPr>
        <w:widowControl/>
        <w:spacing w:line="600" w:lineRule="exact"/>
        <w:ind w:firstLine="640" w:firstLineChars="200"/>
        <w:rPr>
          <w:rFonts w:ascii="Times New Roman" w:hAnsi="Times New Roman" w:eastAsia="楷体_GB2312" w:cs="Times New Roman"/>
          <w:b/>
          <w:sz w:val="32"/>
          <w:szCs w:val="32"/>
        </w:rPr>
      </w:pPr>
      <w:r>
        <w:rPr>
          <w:rFonts w:hint="eastAsia" w:ascii="仿宋_GB2312" w:hAnsi="仿宋_GB2312" w:eastAsia="仿宋_GB2312" w:cs="仿宋_GB2312"/>
          <w:bCs/>
          <w:sz w:val="32"/>
          <w:szCs w:val="32"/>
        </w:rPr>
        <w:t>2024年度基本支出2</w:t>
      </w: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43.84</w:t>
      </w:r>
      <w:r>
        <w:rPr>
          <w:rFonts w:hint="eastAsia" w:ascii="仿宋_GB2312" w:hAnsi="仿宋_GB2312" w:eastAsia="仿宋_GB2312" w:cs="仿宋_GB2312"/>
          <w:bCs/>
          <w:sz w:val="32"/>
          <w:szCs w:val="32"/>
        </w:rPr>
        <w:t>万元，其中：人员经费1</w:t>
      </w:r>
      <w:r>
        <w:rPr>
          <w:rFonts w:hint="eastAsia" w:ascii="仿宋_GB2312" w:hAnsi="仿宋_GB2312" w:eastAsia="仿宋_GB2312" w:cs="仿宋_GB2312"/>
          <w:bCs/>
          <w:sz w:val="32"/>
          <w:szCs w:val="32"/>
          <w:lang w:val="en-US" w:eastAsia="zh-CN"/>
        </w:rPr>
        <w:t>978.00</w:t>
      </w:r>
      <w:r>
        <w:rPr>
          <w:rFonts w:hint="eastAsia" w:ascii="仿宋_GB2312" w:hAnsi="仿宋_GB2312" w:eastAsia="仿宋_GB2312" w:cs="仿宋_GB2312"/>
          <w:bCs/>
          <w:sz w:val="32"/>
          <w:szCs w:val="32"/>
        </w:rPr>
        <w:t>万元，主要包括：基本工资、津贴补贴、奖金、社会保障缴费、伙食补助费、其他工资福利支出、抚恤金、生活补助、住房公积金、其他对个人和家庭的补助；公用经费</w:t>
      </w:r>
      <w:r>
        <w:rPr>
          <w:rFonts w:hint="eastAsia" w:ascii="仿宋_GB2312" w:hAnsi="仿宋_GB2312" w:eastAsia="仿宋_GB2312" w:cs="仿宋_GB2312"/>
          <w:bCs/>
          <w:sz w:val="32"/>
          <w:szCs w:val="32"/>
          <w:lang w:val="en-US" w:eastAsia="zh-CN"/>
        </w:rPr>
        <w:t>365.85</w:t>
      </w:r>
      <w:r>
        <w:rPr>
          <w:rFonts w:hint="eastAsia" w:ascii="仿宋_GB2312" w:hAnsi="仿宋_GB2312" w:eastAsia="仿宋_GB2312" w:cs="仿宋_GB2312"/>
          <w:bCs/>
          <w:sz w:val="32"/>
          <w:szCs w:val="32"/>
        </w:rPr>
        <w:t>万元，主要包括：办公费、印刷费、水费、电费、邮电费、物业管理费、差旅费、维修（护）费、租赁费、会议费、培训费、公务接待费、专用材料费、劳务费、工会经费、其他商品和服务支出。</w:t>
      </w:r>
    </w:p>
    <w:p w14:paraId="150E343A">
      <w:pPr>
        <w:pStyle w:val="8"/>
        <w:widowControl/>
        <w:spacing w:line="600" w:lineRule="exact"/>
        <w:ind w:firstLine="643"/>
        <w:rPr>
          <w:rFonts w:hint="eastAsia" w:ascii="仿宋_GB2312" w:hAnsi="仿宋_GB2312" w:eastAsia="仿宋_GB2312" w:cs="仿宋_GB2312"/>
          <w:bCs/>
          <w:kern w:val="0"/>
          <w:sz w:val="32"/>
          <w:szCs w:val="32"/>
          <w:lang w:val="en-US" w:eastAsia="zh-CN" w:bidi="ar-SA"/>
        </w:rPr>
      </w:pPr>
      <w:r>
        <w:rPr>
          <w:rFonts w:ascii="楷体_GB2312" w:hAnsi="Times New Roman" w:eastAsia="楷体_GB2312" w:cs="Times New Roman"/>
          <w:b/>
          <w:sz w:val="32"/>
          <w:szCs w:val="32"/>
        </w:rPr>
        <w:t>（二）项目支出情况</w:t>
      </w:r>
    </w:p>
    <w:p w14:paraId="24A48D98">
      <w:pPr>
        <w:spacing w:line="500" w:lineRule="exact"/>
        <w:ind w:firstLine="640" w:firstLineChars="200"/>
        <w:rPr>
          <w:rFonts w:hint="eastAsia" w:ascii="宋体" w:hAnsi="宋体" w:eastAsia="宋体"/>
          <w:sz w:val="32"/>
          <w:szCs w:val="32"/>
        </w:rPr>
      </w:pPr>
      <w:r>
        <w:rPr>
          <w:rFonts w:hint="eastAsia" w:ascii="仿宋_GB2312" w:hAnsi="仿宋_GB2312" w:eastAsia="仿宋_GB2312" w:cs="仿宋_GB2312"/>
          <w:bCs/>
          <w:kern w:val="0"/>
          <w:sz w:val="32"/>
          <w:szCs w:val="32"/>
          <w:lang w:val="en-US" w:eastAsia="zh-CN" w:bidi="ar-SA"/>
        </w:rPr>
        <w:t>2024年度项目支出1868.21万元，具体支出如下表</w:t>
      </w:r>
      <w:r>
        <w:rPr>
          <w:rFonts w:hint="eastAsia" w:ascii="宋体" w:hAnsi="宋体" w:eastAsia="宋体"/>
          <w:sz w:val="32"/>
          <w:szCs w:val="32"/>
        </w:rPr>
        <w:t>：</w:t>
      </w:r>
    </w:p>
    <w:p w14:paraId="1B98E30A">
      <w:pPr>
        <w:spacing w:line="500" w:lineRule="exact"/>
        <w:ind w:firstLine="640" w:firstLineChars="200"/>
        <w:rPr>
          <w:rFonts w:hint="eastAsia" w:ascii="宋体" w:hAnsi="宋体" w:eastAsia="宋体"/>
          <w:sz w:val="32"/>
          <w:szCs w:val="32"/>
        </w:rPr>
      </w:pPr>
    </w:p>
    <w:tbl>
      <w:tblPr>
        <w:tblStyle w:val="4"/>
        <w:tblW w:w="5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91"/>
        <w:gridCol w:w="1096"/>
      </w:tblGrid>
      <w:tr w14:paraId="06617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30" w:type="dxa"/>
            <w:tcBorders>
              <w:top w:val="single" w:color="D4D4D4" w:sz="4" w:space="0"/>
              <w:left w:val="single" w:color="D4D4D4" w:sz="4" w:space="0"/>
              <w:bottom w:val="single" w:color="000000" w:sz="4" w:space="0"/>
              <w:right w:val="single" w:color="000000" w:sz="4" w:space="0"/>
            </w:tcBorders>
            <w:shd w:val="clear" w:color="auto" w:fill="F1F1F1"/>
            <w:vAlign w:val="center"/>
          </w:tcPr>
          <w:p w14:paraId="68663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125" w:type="dxa"/>
            <w:tcBorders>
              <w:top w:val="single" w:color="D4D4D4" w:sz="4" w:space="0"/>
              <w:left w:val="single" w:color="000000" w:sz="4" w:space="0"/>
              <w:bottom w:val="single" w:color="000000" w:sz="4" w:space="0"/>
              <w:right w:val="single" w:color="D4D4D4" w:sz="4" w:space="0"/>
            </w:tcBorders>
            <w:shd w:val="clear" w:color="auto" w:fill="F1F1F1"/>
            <w:vAlign w:val="center"/>
          </w:tcPr>
          <w:p w14:paraId="4C3F1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金额（万元）</w:t>
            </w:r>
          </w:p>
        </w:tc>
      </w:tr>
      <w:tr w14:paraId="06843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30" w:type="dxa"/>
            <w:tcBorders>
              <w:top w:val="single" w:color="000000" w:sz="4" w:space="0"/>
              <w:left w:val="single" w:color="D4D4D4" w:sz="4" w:space="0"/>
              <w:bottom w:val="single" w:color="000000" w:sz="4" w:space="0"/>
              <w:right w:val="single" w:color="000000" w:sz="4" w:space="0"/>
            </w:tcBorders>
            <w:shd w:val="clear" w:color="auto" w:fill="F1F1F1"/>
            <w:vAlign w:val="center"/>
          </w:tcPr>
          <w:p w14:paraId="2582C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2C9B0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1,868.21</w:t>
            </w:r>
          </w:p>
        </w:tc>
      </w:tr>
      <w:tr w14:paraId="1FBE7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8163B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非税收入征收经费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6DF0C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w:t>
            </w:r>
          </w:p>
        </w:tc>
      </w:tr>
      <w:tr w14:paraId="47209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667B93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非税征收经费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92050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374.34</w:t>
            </w:r>
          </w:p>
        </w:tc>
      </w:tr>
      <w:tr w14:paraId="12ECE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B6183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市政府与省农业信贷融资担保风险保证金</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4B188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r>
      <w:tr w14:paraId="163F9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44C10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财税库网络租赁、专网维护费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02346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143.43</w:t>
            </w:r>
          </w:p>
        </w:tc>
      </w:tr>
      <w:tr w14:paraId="6D6CD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F042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工程评审购买服务资金</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6517A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134.52</w:t>
            </w:r>
          </w:p>
        </w:tc>
      </w:tr>
      <w:tr w14:paraId="75B6C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77D83A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绩效评价及绩效管理信息系统服务费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12C65F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99.00</w:t>
            </w:r>
          </w:p>
        </w:tc>
      </w:tr>
      <w:tr w14:paraId="2C83A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74BB75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财政事务管理经费.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875F5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54.25</w:t>
            </w:r>
          </w:p>
        </w:tc>
      </w:tr>
      <w:tr w14:paraId="49B8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4327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财政事务管理</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6F030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r>
      <w:tr w14:paraId="34836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3AB01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24年征收经费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50A27D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36.94</w:t>
            </w:r>
          </w:p>
        </w:tc>
      </w:tr>
      <w:tr w14:paraId="600B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1229BA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2023年政府债务管理工作经费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073FF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14:paraId="6CEC2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636E70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一次性抚恤金</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B1519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33.14</w:t>
            </w:r>
          </w:p>
        </w:tc>
      </w:tr>
      <w:tr w14:paraId="0E304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63A05B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下达财政业务补助经费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19DF84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r>
      <w:tr w14:paraId="4DC4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539D94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2024年绩效评价工作经费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3FC09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r>
      <w:tr w14:paraId="51540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1568B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债务管理及债务申报</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203D04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14:paraId="79461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0A112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政府采购电子卖场及专家库</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60E87A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19.84</w:t>
            </w:r>
          </w:p>
        </w:tc>
      </w:tr>
      <w:tr w14:paraId="637D2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669ADE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决算业务及培训.</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55CBE4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w:t>
            </w:r>
          </w:p>
        </w:tc>
      </w:tr>
      <w:tr w14:paraId="6780D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13A6B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一季度各单位死亡人员一次性抚恤</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24775A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w:t>
            </w:r>
          </w:p>
        </w:tc>
      </w:tr>
      <w:tr w14:paraId="4C3C5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3E9B53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债务管理及债券申报.</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B2C7E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w:t>
            </w:r>
          </w:p>
        </w:tc>
      </w:tr>
      <w:tr w14:paraId="10B3B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48411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从社会保障和就业专项资金中安排退休干部待遇补贴</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76D83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15.60</w:t>
            </w:r>
          </w:p>
        </w:tc>
      </w:tr>
      <w:tr w14:paraId="03DF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57480E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财源建设工作经费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5C8D83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68D95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60BE13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聘请第三方咨询公司提供PPP存量项目咨询服务费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1515A7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w:t>
            </w:r>
          </w:p>
        </w:tc>
      </w:tr>
      <w:tr w14:paraId="2E1A6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7AF321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决算业务及培训</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1222B0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w:t>
            </w:r>
          </w:p>
        </w:tc>
      </w:tr>
      <w:tr w14:paraId="4B3A2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915E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2022年债务工作经费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4EAD2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4675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D7D6F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下达2023年第二批专项补助经费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6822EC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5A741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04094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2022年湖南省第三批制造强省专项资金（重大议定事项和奖励类项目）</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CDB9E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0B7F1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704273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国有资产清查、管理、处置，，</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E57E3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14:paraId="74E0B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36596D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农业保险工作经费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D0FDF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196F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1187F4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财政监督检查</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130B72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1B749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35B37C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预算控购事务.</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9F8A9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24B25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C1B4F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财税库调查与宣传.</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65DFE8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56B21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741FE9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2022年国外贷款赠款专项经费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B57CB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099D7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35B91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从机关事业专项资金中安排驻市直单位纪检组专项经费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80D20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r>
      <w:tr w14:paraId="0491E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F7847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2022年度绩效管理工作奖励经费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E665D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0D4DC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625FA9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国有资产清查、管理、处置经费.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4844A1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21FCA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334F96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预算控购事务</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2A8E76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03C0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56D785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市直单位纪检组专项经费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5EADE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r>
      <w:tr w14:paraId="18FC6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32F3E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财政业务补助经费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067B2B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5544A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0872C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国有企业财务信息管理费用</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471FE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5F9F0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18228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政府采购电子卖场及专家库经费.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6E1296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r>
      <w:tr w14:paraId="07519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2E8F2E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禁燃工作经费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01562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4BD34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51083E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2023年度禁燃禁放工作经费</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35B90C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3A8CA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6BA766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从机关事业专项资金中安排2022年度安全生产和消防工作考核奖金</w:t>
            </w:r>
          </w:p>
        </w:tc>
        <w:tc>
          <w:tcPr>
            <w:tcW w:w="0" w:type="auto"/>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532FD9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r>
    </w:tbl>
    <w:p w14:paraId="274D9374">
      <w:pPr>
        <w:spacing w:line="500" w:lineRule="exact"/>
        <w:ind w:firstLine="1472" w:firstLineChars="460"/>
        <w:rPr>
          <w:rFonts w:hint="eastAsia" w:ascii="宋体" w:hAnsi="宋体" w:eastAsia="宋体"/>
          <w:sz w:val="32"/>
          <w:szCs w:val="32"/>
        </w:rPr>
      </w:pPr>
    </w:p>
    <w:p w14:paraId="62FD30F5">
      <w:pPr>
        <w:spacing w:line="500" w:lineRule="exact"/>
        <w:ind w:firstLine="640" w:firstLineChars="200"/>
        <w:rPr>
          <w:rFonts w:hint="eastAsia" w:ascii="宋体" w:hAnsi="宋体" w:eastAsia="宋体"/>
          <w:sz w:val="32"/>
          <w:szCs w:val="32"/>
        </w:rPr>
      </w:pPr>
    </w:p>
    <w:p w14:paraId="0384B589">
      <w:pPr>
        <w:spacing w:line="500" w:lineRule="exact"/>
        <w:ind w:firstLine="640" w:firstLineChars="200"/>
        <w:rPr>
          <w:rFonts w:ascii="宋体" w:hAnsi="宋体" w:eastAsia="宋体"/>
          <w:sz w:val="32"/>
          <w:szCs w:val="32"/>
        </w:rPr>
      </w:pPr>
    </w:p>
    <w:p w14:paraId="14683254">
      <w:pPr>
        <w:spacing w:line="500" w:lineRule="exact"/>
        <w:ind w:firstLine="643" w:firstLineChars="200"/>
        <w:rPr>
          <w:rFonts w:ascii="Times New Roman" w:hAnsi="Times New Roman" w:eastAsia="楷体_GB2312" w:cs="Times New Roman"/>
          <w:b/>
          <w:sz w:val="32"/>
          <w:szCs w:val="32"/>
        </w:rPr>
      </w:pPr>
    </w:p>
    <w:p w14:paraId="1BBD8B8B">
      <w:pPr>
        <w:pStyle w:val="8"/>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政府性基金预算支出情况</w:t>
      </w:r>
    </w:p>
    <w:p w14:paraId="1B70D073">
      <w:pPr>
        <w:spacing w:line="600" w:lineRule="exact"/>
        <w:ind w:firstLine="960" w:firstLineChars="300"/>
        <w:rPr>
          <w:rFonts w:ascii="Times New Roman" w:hAnsi="Times New Roman" w:eastAsia="黑体" w:cs="Times New Roman"/>
          <w:sz w:val="32"/>
          <w:szCs w:val="32"/>
        </w:rPr>
      </w:pPr>
      <w:r>
        <w:rPr>
          <w:rFonts w:hint="eastAsia" w:ascii="仿宋_GB2312" w:hAnsi="仿宋_GB2312" w:eastAsia="仿宋_GB2312" w:cs="仿宋_GB2312"/>
          <w:sz w:val="32"/>
          <w:szCs w:val="32"/>
        </w:rPr>
        <w:t>2024年度我单位无政府性基金预算支出。</w:t>
      </w:r>
    </w:p>
    <w:p w14:paraId="4AD33758">
      <w:pPr>
        <w:pStyle w:val="8"/>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国有资本经营预算支出情况</w:t>
      </w:r>
    </w:p>
    <w:p w14:paraId="66C0CB04">
      <w:pPr>
        <w:pStyle w:val="8"/>
        <w:widowControl/>
        <w:spacing w:line="600" w:lineRule="exact"/>
        <w:ind w:left="640" w:firstLine="320" w:firstLineChars="100"/>
        <w:jc w:val="left"/>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无国有资本经营预算支出</w:t>
      </w:r>
      <w:r>
        <w:rPr>
          <w:rFonts w:hint="eastAsia" w:ascii="仿宋_GB2312" w:hAnsi="仿宋_GB2312" w:eastAsia="仿宋_GB2312" w:cs="仿宋_GB2312"/>
          <w:sz w:val="32"/>
          <w:szCs w:val="32"/>
        </w:rPr>
        <w:t>。</w:t>
      </w:r>
    </w:p>
    <w:p w14:paraId="41460AF1">
      <w:pPr>
        <w:pStyle w:val="8"/>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社会保险基金预算支出情况</w:t>
      </w:r>
    </w:p>
    <w:p w14:paraId="635A5D2E">
      <w:pPr>
        <w:pStyle w:val="9"/>
        <w:widowControl/>
        <w:spacing w:line="600" w:lineRule="exact"/>
        <w:ind w:firstLine="640"/>
        <w:jc w:val="left"/>
        <w:rPr>
          <w:rFonts w:ascii="Times New Roman" w:hAnsi="Times New Roman" w:eastAsia="黑体" w:cs="Times New Roman"/>
          <w:sz w:val="32"/>
          <w:szCs w:val="32"/>
        </w:rPr>
      </w:pPr>
      <w:r>
        <w:rPr>
          <w:rFonts w:ascii="黑体" w:hAnsi="黑体" w:eastAsia="黑体" w:cs="Times New Roman"/>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单位无社会保险基金预算支出。</w:t>
      </w:r>
    </w:p>
    <w:p w14:paraId="75660F8A">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部门整体支出绩效情况</w:t>
      </w:r>
    </w:p>
    <w:p w14:paraId="68A8783B">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（一）收支平衡稳定，经济运行向好。</w:t>
      </w:r>
      <w:r>
        <w:rPr>
          <w:rFonts w:hint="eastAsia" w:ascii="仿宋_GB2312" w:hAnsi="仿宋_GB2312" w:eastAsia="仿宋_GB2312" w:cs="仿宋_GB2312"/>
          <w:color w:val="auto"/>
          <w:sz w:val="32"/>
          <w:szCs w:val="32"/>
          <w:lang w:val="en-US" w:eastAsia="zh-CN"/>
        </w:rPr>
        <w:t>2024年，常宁市以增加财政收入为重点，不断加强综合治税，规范收入管理，财政收入结构更趋合理，收入质量全面提升。2024年，常宁市一般公共预算收入完成25.77亿元，其中：全口径税收收入完成20.59亿元，非税收入完成5.18亿元。地方一般公共预算收入完成17.84亿元，增长7.15%，其中：地方税收收入完成12.65亿元，增长7.23%，税占比为70.95%，财政收入质量进一步提升。</w:t>
      </w:r>
    </w:p>
    <w:p w14:paraId="4F44663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（二）财源建设强劲，多措并举发力。</w:t>
      </w:r>
      <w:r>
        <w:rPr>
          <w:rFonts w:hint="eastAsia" w:eastAsia="仿宋_GB2312" w:cs="Arial"/>
          <w:b/>
          <w:bCs/>
          <w:color w:val="auto"/>
          <w:sz w:val="32"/>
          <w:lang w:val="en-US" w:eastAsia="zh-CN"/>
        </w:rPr>
        <w:t>一是加强财源建设。</w:t>
      </w:r>
      <w:r>
        <w:rPr>
          <w:rFonts w:hint="eastAsia" w:eastAsia="仿宋_GB2312" w:cs="Arial"/>
          <w:color w:val="auto"/>
          <w:sz w:val="32"/>
          <w:lang w:val="en-US" w:eastAsia="zh-CN"/>
        </w:rPr>
        <w:t>全力推进产业项目建设，培育壮大骨干财源，支持铜铅锌、湘南纺织两大千亿级产业集群延链补链强链，为财税收入的可持续增长提供强有力的产业支撑。</w:t>
      </w:r>
      <w:r>
        <w:rPr>
          <w:rFonts w:hint="eastAsia" w:eastAsia="仿宋_GB2312" w:cs="Arial"/>
          <w:b/>
          <w:bCs/>
          <w:color w:val="auto"/>
          <w:sz w:val="32"/>
          <w:lang w:val="en-US" w:eastAsia="zh-CN"/>
        </w:rPr>
        <w:t>二是争取惠企资金。</w:t>
      </w:r>
      <w:r>
        <w:rPr>
          <w:rFonts w:hint="eastAsia" w:eastAsia="仿宋_GB2312" w:cs="Arial"/>
          <w:color w:val="auto"/>
          <w:sz w:val="32"/>
          <w:lang w:val="en-US" w:eastAsia="zh-CN"/>
        </w:rPr>
        <w:t>积极配合相关部门和企业争取“先进制造业高地”奖补资金937万元、外贸促发展资金341.84万元、加工贸易资金18.3万元等等，支持企业转型升级、技术改造和科技创新。</w:t>
      </w:r>
      <w:r>
        <w:rPr>
          <w:rFonts w:hint="eastAsia" w:eastAsia="仿宋_GB2312" w:cs="Arial"/>
          <w:b/>
          <w:bCs/>
          <w:color w:val="auto"/>
          <w:sz w:val="32"/>
          <w:lang w:val="en-US" w:eastAsia="zh-CN"/>
        </w:rPr>
        <w:t>三是缓解融资难题。</w:t>
      </w:r>
      <w:r>
        <w:rPr>
          <w:rFonts w:hint="eastAsia" w:eastAsia="仿宋_GB2312" w:cs="Arial"/>
          <w:color w:val="auto"/>
          <w:sz w:val="32"/>
          <w:lang w:val="en-US" w:eastAsia="zh-CN"/>
        </w:rPr>
        <w:t>积极发挥财政资金杠杆撬动作用，截止目前已帮助小微企业、个人申请18笔创业担保贷款，贷款金额达3301万元，财政贴息39.21万元；完成在保农业信贷担保户数267户，在保担保金额1.21亿元。</w:t>
      </w:r>
      <w:r>
        <w:rPr>
          <w:rFonts w:hint="eastAsia" w:eastAsia="仿宋_GB2312" w:cs="Arial"/>
          <w:b/>
          <w:bCs/>
          <w:color w:val="auto"/>
          <w:sz w:val="32"/>
          <w:lang w:val="en-US" w:eastAsia="zh-CN"/>
        </w:rPr>
        <w:t>四是</w:t>
      </w:r>
      <w:r>
        <w:rPr>
          <w:rFonts w:hint="eastAsia" w:ascii="楷体_GB2312" w:hAnsi="楷体_GB2312" w:eastAsia="楷体_GB2312" w:cs="楷体_GB2312"/>
          <w:b/>
          <w:bCs/>
          <w:color w:val="auto"/>
          <w:sz w:val="32"/>
          <w:szCs w:val="32"/>
          <w:lang w:val="en-US" w:eastAsia="zh-CN"/>
        </w:rPr>
        <w:t>积极向上争资。</w:t>
      </w:r>
      <w:r>
        <w:rPr>
          <w:rFonts w:hint="eastAsia" w:ascii="仿宋_GB2312" w:hAnsi="仿宋_GB2312" w:eastAsia="仿宋_GB2312" w:cs="仿宋_GB2312"/>
          <w:b w:val="0"/>
          <w:bCs w:val="0"/>
          <w:color w:val="auto"/>
          <w:sz w:val="32"/>
          <w:szCs w:val="32"/>
          <w:lang w:val="en-US" w:eastAsia="zh-CN"/>
        </w:rPr>
        <w:t>2024年，全市共争取上级补助收入42.02亿元，其中：一般性转移支付37.9亿元，专项转移支付4.12亿元；争取债券资金18.12亿元，其中：一般债0.79亿元，专项债17.33亿元，比上年增加4.45亿元，其中用于置换存量债务9.19亿元，为常宁经济产业发展提供了资金支持。</w:t>
      </w:r>
      <w:r>
        <w:rPr>
          <w:rFonts w:hint="eastAsia" w:ascii="仿宋_GB2312" w:hAnsi="仿宋_GB2312" w:eastAsia="仿宋_GB2312" w:cs="仿宋_GB2312"/>
          <w:b/>
          <w:bCs/>
          <w:color w:val="auto"/>
          <w:sz w:val="32"/>
          <w:szCs w:val="32"/>
          <w:lang w:val="en-US" w:eastAsia="zh-CN"/>
        </w:rPr>
        <w:t>五是严防债务风险。</w:t>
      </w:r>
      <w:r>
        <w:rPr>
          <w:rFonts w:hint="eastAsia" w:ascii="仿宋_GB2312" w:hAnsi="仿宋_GB2312" w:eastAsia="仿宋_GB2312" w:cs="仿宋_GB2312"/>
          <w:b w:val="0"/>
          <w:bCs w:val="0"/>
          <w:color w:val="auto"/>
          <w:sz w:val="32"/>
          <w:szCs w:val="32"/>
          <w:lang w:val="en-US" w:eastAsia="zh-CN"/>
        </w:rPr>
        <w:t>想方设法做强做大财政收入蛋糕，积极争取置换债9.19亿元，最大限度的压降债务率，降低融资成本。今年用置换债置换高额贷款，全市一年可减少利息支出1960万元。</w:t>
      </w:r>
      <w:r>
        <w:rPr>
          <w:rFonts w:hint="eastAsia" w:ascii="仿宋_GB2312" w:hAnsi="仿宋_GB2312" w:eastAsia="仿宋_GB2312" w:cs="仿宋_GB2312"/>
          <w:b/>
          <w:bCs/>
          <w:color w:val="auto"/>
          <w:sz w:val="32"/>
          <w:szCs w:val="32"/>
          <w:lang w:val="en-US" w:eastAsia="zh-CN"/>
        </w:rPr>
        <w:t>六是压降融资平台。</w:t>
      </w:r>
      <w:r>
        <w:rPr>
          <w:rFonts w:hint="eastAsia" w:ascii="仿宋_GB2312" w:hAnsi="仿宋_GB2312" w:eastAsia="仿宋_GB2312" w:cs="仿宋_GB2312"/>
          <w:b w:val="0"/>
          <w:bCs w:val="0"/>
          <w:color w:val="auto"/>
          <w:sz w:val="32"/>
          <w:szCs w:val="32"/>
          <w:lang w:val="en-US" w:eastAsia="zh-CN"/>
        </w:rPr>
        <w:t>2024年，我市申报的5个平台已通过监管局的审核，退出平台，超额完成上级分配的任务。仅此一项，可增加上级奖励资金200万元。</w:t>
      </w:r>
      <w:r>
        <w:rPr>
          <w:rFonts w:hint="eastAsia" w:ascii="仿宋_GB2312" w:hAnsi="仿宋_GB2312" w:eastAsia="仿宋_GB2312" w:cs="仿宋_GB2312"/>
          <w:b/>
          <w:bCs/>
          <w:color w:val="auto"/>
          <w:sz w:val="32"/>
          <w:szCs w:val="32"/>
          <w:lang w:val="en-US" w:eastAsia="zh-CN"/>
        </w:rPr>
        <w:t>七是降低贷款利息。</w:t>
      </w:r>
      <w:r>
        <w:rPr>
          <w:rFonts w:hint="eastAsia" w:ascii="仿宋_GB2312" w:hAnsi="仿宋_GB2312" w:eastAsia="仿宋_GB2312" w:cs="仿宋_GB2312"/>
          <w:b w:val="0"/>
          <w:bCs w:val="0"/>
          <w:color w:val="auto"/>
          <w:sz w:val="32"/>
          <w:szCs w:val="32"/>
          <w:lang w:val="en-US" w:eastAsia="zh-CN"/>
        </w:rPr>
        <w:t>根据《常宁市本级财政性资金及财政监管资金存放商业银行综合评分办法》要求，统筹财政资源，引导各金融机构降低贷款利息，帮助国有企业降低融资成本。目前，各金融机构纷纷降息，最高利息已降至年息4%以下，降幅达43%。</w:t>
      </w:r>
    </w:p>
    <w:p w14:paraId="2BC1AA4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（三）增进民生福祉，维护社会基本稳定。</w:t>
      </w:r>
      <w:r>
        <w:rPr>
          <w:rFonts w:hint="eastAsia" w:ascii="仿宋_GB2312" w:hAnsi="仿宋_GB2312" w:eastAsia="仿宋_GB2312" w:cs="仿宋_GB2312"/>
          <w:b/>
          <w:bCs/>
          <w:color w:val="auto"/>
          <w:sz w:val="32"/>
          <w:szCs w:val="32"/>
          <w:lang w:val="en-US" w:eastAsia="zh-CN"/>
        </w:rPr>
        <w:t>一是兜牢三保底线。</w:t>
      </w:r>
      <w:r>
        <w:rPr>
          <w:rFonts w:hint="eastAsia" w:ascii="仿宋_GB2312" w:hAnsi="仿宋_GB2312" w:eastAsia="仿宋_GB2312" w:cs="仿宋_GB2312"/>
          <w:color w:val="auto"/>
          <w:sz w:val="32"/>
          <w:szCs w:val="32"/>
        </w:rPr>
        <w:t>严格按照先“三保”支出后其他支出的资金拨付顺序，牢牢守住“三保”底线，维护了社会的基本稳定。</w:t>
      </w:r>
      <w:r>
        <w:rPr>
          <w:rFonts w:hint="eastAsia" w:ascii="仿宋_GB2312" w:hAnsi="仿宋_GB2312" w:eastAsia="仿宋_GB2312" w:cs="仿宋_GB2312"/>
          <w:color w:val="auto"/>
          <w:sz w:val="32"/>
          <w:szCs w:val="32"/>
          <w:u w:val="none"/>
          <w:lang w:val="en-US" w:eastAsia="zh-CN"/>
        </w:rPr>
        <w:t>2024年，</w:t>
      </w:r>
      <w:r>
        <w:rPr>
          <w:rFonts w:hint="eastAsia" w:eastAsia="仿宋_GB2312" w:cs="Arial"/>
          <w:color w:val="auto"/>
          <w:sz w:val="32"/>
          <w:u w:val="none"/>
          <w:lang w:val="en-US" w:eastAsia="zh-CN"/>
        </w:rPr>
        <w:t>全市“三保”支出完成47.82亿元，其中：“保工资”19.86亿元，“保运转”3.93亿元，“保基本民生”24.03亿元。</w:t>
      </w:r>
      <w:r>
        <w:rPr>
          <w:rFonts w:hint="eastAsia" w:ascii="仿宋_GB2312" w:hAnsi="仿宋_GB2312" w:eastAsia="仿宋_GB2312" w:cs="仿宋_GB2312"/>
          <w:b/>
          <w:bCs/>
          <w:color w:val="auto"/>
          <w:kern w:val="2"/>
          <w:sz w:val="32"/>
          <w:szCs w:val="32"/>
          <w:lang w:val="en-US" w:eastAsia="zh-CN" w:bidi="ar-SA"/>
        </w:rPr>
        <w:t>二是强化教育保障。</w:t>
      </w:r>
      <w:r>
        <w:rPr>
          <w:rFonts w:hint="eastAsia" w:ascii="仿宋_GB2312" w:hAnsi="仿宋_GB2312" w:eastAsia="仿宋_GB2312" w:cs="仿宋_GB2312"/>
          <w:color w:val="auto"/>
          <w:kern w:val="2"/>
          <w:sz w:val="32"/>
          <w:szCs w:val="32"/>
          <w:lang w:val="en-US" w:eastAsia="zh-CN" w:bidi="ar-SA"/>
        </w:rPr>
        <w:t>安排教育支出12.02亿元。巩固和完善义务教育中小学教师工资保障机制，落实各阶段各项家庭经济困难学生资助政策和助学金政策，支持学校扩容提质改造、校舍维修和各阶段教育优质发展。</w:t>
      </w:r>
      <w:r>
        <w:rPr>
          <w:rFonts w:hint="eastAsia" w:ascii="仿宋_GB2312" w:hAnsi="仿宋_GB2312" w:eastAsia="仿宋_GB2312" w:cs="仿宋_GB2312"/>
          <w:b/>
          <w:bCs/>
          <w:color w:val="auto"/>
          <w:kern w:val="2"/>
          <w:sz w:val="32"/>
          <w:szCs w:val="32"/>
          <w:lang w:val="en-US" w:eastAsia="zh-CN" w:bidi="ar-SA"/>
        </w:rPr>
        <w:t>三是聚焦社保重心。</w:t>
      </w:r>
      <w:r>
        <w:rPr>
          <w:rFonts w:hint="eastAsia" w:ascii="仿宋_GB2312" w:hAnsi="仿宋_GB2312" w:eastAsia="仿宋_GB2312" w:cs="仿宋_GB2312"/>
          <w:sz w:val="32"/>
          <w:szCs w:val="32"/>
          <w:lang w:val="en-US" w:eastAsia="zh-CN"/>
        </w:rPr>
        <w:t>安排社会保障和就业支出11.65亿元。</w:t>
      </w:r>
      <w:r>
        <w:rPr>
          <w:rFonts w:hint="eastAsia" w:ascii="仿宋_GB2312" w:hAnsi="仿宋_GB2312" w:eastAsia="仿宋_GB2312" w:cs="仿宋_GB2312"/>
          <w:color w:val="auto"/>
          <w:kern w:val="2"/>
          <w:sz w:val="32"/>
          <w:szCs w:val="32"/>
          <w:lang w:val="en-US" w:eastAsia="zh-CN" w:bidi="ar-SA"/>
        </w:rPr>
        <w:t>全面贯彻执行各项惠民政策，努力办好重点民生实事项目。</w:t>
      </w:r>
      <w:r>
        <w:rPr>
          <w:rFonts w:hint="eastAsia" w:ascii="仿宋_GB2312" w:hAnsi="仿宋_GB2312" w:eastAsia="仿宋_GB2312" w:cs="仿宋_GB2312"/>
          <w:b/>
          <w:bCs/>
          <w:color w:val="auto"/>
          <w:kern w:val="2"/>
          <w:sz w:val="32"/>
          <w:szCs w:val="32"/>
          <w:lang w:val="en-US" w:eastAsia="zh-CN" w:bidi="ar-SA"/>
        </w:rPr>
        <w:t>四是助力乡村振兴。</w:t>
      </w:r>
      <w:r>
        <w:rPr>
          <w:rFonts w:hint="eastAsia" w:ascii="仿宋_GB2312" w:hAnsi="仿宋_GB2312" w:eastAsia="仿宋_GB2312" w:cs="仿宋_GB2312"/>
          <w:color w:val="auto"/>
          <w:kern w:val="2"/>
          <w:sz w:val="32"/>
          <w:szCs w:val="32"/>
          <w:lang w:val="en-US" w:eastAsia="zh-CN" w:bidi="ar-SA"/>
        </w:rPr>
        <w:t>安排农林水支出9.68亿元，严格落实耕地地力保护补贴、农机购置补贴等惠农补贴政策，大力支持农村人居环境整治五年提升行动和</w:t>
      </w:r>
      <w:r>
        <w:rPr>
          <w:rFonts w:hint="default" w:ascii="仿宋_GB2312" w:hAnsi="仿宋_GB2312" w:eastAsia="仿宋_GB2312" w:cs="仿宋_GB2312"/>
          <w:color w:val="auto"/>
          <w:kern w:val="2"/>
          <w:sz w:val="32"/>
          <w:szCs w:val="32"/>
          <w:lang w:val="en-US" w:eastAsia="zh-CN" w:bidi="ar-SA"/>
        </w:rPr>
        <w:t>特色产业发展</w:t>
      </w:r>
      <w:r>
        <w:rPr>
          <w:rFonts w:hint="eastAsia" w:ascii="仿宋_GB2312" w:hAnsi="仿宋_GB2312" w:eastAsia="仿宋_GB2312" w:cs="仿宋_GB2312"/>
          <w:color w:val="auto"/>
          <w:kern w:val="2"/>
          <w:sz w:val="32"/>
          <w:szCs w:val="32"/>
          <w:lang w:val="en-US" w:eastAsia="zh-CN" w:bidi="ar-SA"/>
        </w:rPr>
        <w:t>，提高村民幸福指数。同时，全面落实村级公益事业项目建设财政奖补资金工作，支持农村基础设施建设，打造美丽乡村示范点。</w:t>
      </w:r>
    </w:p>
    <w:p w14:paraId="3A5147D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（四）强化精细管理，狠抓职能履行。</w:t>
      </w:r>
      <w:r>
        <w:rPr>
          <w:rFonts w:hint="eastAsia" w:eastAsia="仿宋_GB2312" w:cs="Arial"/>
          <w:b/>
          <w:bCs/>
          <w:color w:val="auto"/>
          <w:sz w:val="32"/>
          <w:lang w:val="en-US" w:eastAsia="zh-CN"/>
        </w:rPr>
        <w:t>一是科学编制财政预算。</w:t>
      </w:r>
      <w:r>
        <w:rPr>
          <w:rFonts w:hint="eastAsia" w:eastAsia="仿宋_GB2312" w:cs="Arial"/>
          <w:color w:val="auto"/>
          <w:sz w:val="32"/>
          <w:lang w:val="en-US" w:eastAsia="zh-CN"/>
        </w:rPr>
        <w:t>严格落实财政运行红色风险地区管控措施，从严从紧从实编制财政预算。2024年财政预算行政经费压减20%以上，压减了5041万元；专项项目资金压减50%以上，压减了12217万元。</w:t>
      </w:r>
      <w:r>
        <w:rPr>
          <w:rFonts w:hint="eastAsia" w:eastAsia="仿宋_GB2312" w:cs="Arial"/>
          <w:b/>
          <w:bCs/>
          <w:color w:val="auto"/>
          <w:sz w:val="32"/>
          <w:lang w:val="en-US" w:eastAsia="zh-CN"/>
        </w:rPr>
        <w:t>二是全面盘活存量资金。</w:t>
      </w:r>
      <w:r>
        <w:rPr>
          <w:rFonts w:hint="eastAsia" w:ascii="仿宋_GB2312" w:hAnsi="仿宋_GB2312" w:eastAsia="仿宋_GB2312" w:cs="仿宋_GB2312"/>
          <w:b w:val="0"/>
          <w:bCs w:val="0"/>
          <w:sz w:val="32"/>
          <w:szCs w:val="32"/>
          <w:lang w:val="en-US" w:eastAsia="zh-CN"/>
        </w:rPr>
        <w:t>2024年，我市积极开展财政账户清理工作，</w:t>
      </w:r>
      <w:r>
        <w:rPr>
          <w:rFonts w:hint="eastAsia" w:eastAsia="仿宋_GB2312" w:cs="Arial"/>
          <w:color w:val="auto"/>
          <w:sz w:val="32"/>
          <w:lang w:val="en-US" w:eastAsia="zh-CN"/>
        </w:rPr>
        <w:t>加强财政专户管理</w:t>
      </w:r>
      <w:r>
        <w:rPr>
          <w:rFonts w:hint="eastAsia" w:ascii="仿宋_GB2312" w:hAnsi="仿宋_GB2312" w:eastAsia="仿宋_GB2312" w:cs="仿宋_GB2312"/>
          <w:b w:val="0"/>
          <w:bCs w:val="0"/>
          <w:sz w:val="32"/>
          <w:szCs w:val="32"/>
          <w:lang w:val="en-US" w:eastAsia="zh-CN"/>
        </w:rPr>
        <w:t>，累计撤销财政账户21个，撤销撤并财政专户8个。</w:t>
      </w:r>
      <w:r>
        <w:rPr>
          <w:rFonts w:hint="eastAsia" w:eastAsia="仿宋_GB2312" w:cs="Arial"/>
          <w:color w:val="auto"/>
          <w:sz w:val="32"/>
          <w:lang w:val="en-US" w:eastAsia="zh-CN"/>
        </w:rPr>
        <w:t>同时，</w:t>
      </w:r>
      <w:r>
        <w:rPr>
          <w:rFonts w:hint="eastAsia" w:ascii="仿宋_GB2312" w:hAnsi="仿宋_GB2312" w:eastAsia="仿宋_GB2312" w:cs="仿宋_GB2312"/>
          <w:color w:val="000000"/>
          <w:sz w:val="32"/>
          <w:szCs w:val="32"/>
          <w:lang w:val="en-US" w:eastAsia="zh-CN"/>
        </w:rPr>
        <w:t>对结转结余两年以上或预算执行进度缓慢以及难以执行的资金进行清理，已经收回以前年度结转结余指标4.06亿元，收回闲置、低效资金0.32亿元。</w:t>
      </w:r>
      <w:r>
        <w:rPr>
          <w:rFonts w:hint="eastAsia" w:eastAsia="仿宋_GB2312" w:cs="Arial"/>
          <w:b/>
          <w:bCs/>
          <w:color w:val="auto"/>
          <w:sz w:val="32"/>
          <w:lang w:val="en-US" w:eastAsia="zh-CN"/>
        </w:rPr>
        <w:t>三是加强国有“三资”管理。</w:t>
      </w:r>
      <w:r>
        <w:rPr>
          <w:rFonts w:hint="eastAsia" w:eastAsia="仿宋_GB2312" w:cs="Arial"/>
          <w:color w:val="auto"/>
          <w:sz w:val="32"/>
          <w:lang w:val="en-US" w:eastAsia="zh-CN"/>
        </w:rPr>
        <w:t>对全市资产、资源、资金进行全面摸底排查，灵活用好“用、售、租、融”四字诀，对“三资”进行分类核实和分类处置。截至目前，全市对闲置资产确权登记66宗，已挂牌出让2宗，</w:t>
      </w:r>
      <w:r>
        <w:rPr>
          <w:rFonts w:hint="eastAsia" w:ascii="仿宋_GB2312" w:hAnsi="仿宋_GB2312" w:eastAsia="仿宋_GB2312" w:cs="仿宋_GB2312"/>
          <w:b w:val="0"/>
          <w:bCs w:val="0"/>
          <w:color w:val="auto"/>
          <w:sz w:val="32"/>
          <w:szCs w:val="32"/>
          <w:lang w:val="en-US" w:eastAsia="zh-CN"/>
        </w:rPr>
        <w:t>国有“三资”盘活收益累计3.02亿元，入库1.29亿元</w:t>
      </w:r>
      <w:r>
        <w:rPr>
          <w:rFonts w:hint="eastAsia" w:ascii="仿宋_GB2312" w:hAnsi="仿宋_GB2312" w:eastAsia="仿宋_GB2312" w:cs="仿宋_GB2312"/>
          <w:b w:val="0"/>
          <w:bCs w:val="0"/>
          <w:color w:val="auto"/>
          <w:sz w:val="32"/>
          <w:szCs w:val="32"/>
          <w:u w:val="none"/>
          <w:lang w:val="en-US" w:eastAsia="zh-CN"/>
        </w:rPr>
        <w:t>。</w:t>
      </w:r>
      <w:r>
        <w:rPr>
          <w:rFonts w:hint="eastAsia" w:eastAsia="仿宋_GB2312" w:cs="Arial"/>
          <w:b/>
          <w:bCs/>
          <w:color w:val="auto"/>
          <w:sz w:val="32"/>
          <w:u w:val="none"/>
          <w:lang w:val="en-US" w:eastAsia="zh-CN"/>
        </w:rPr>
        <w:t>四是加强财政评审。</w:t>
      </w:r>
      <w:r>
        <w:rPr>
          <w:rFonts w:hint="eastAsia" w:eastAsia="仿宋_GB2312" w:cs="Arial"/>
          <w:color w:val="auto"/>
          <w:sz w:val="32"/>
          <w:u w:val="none"/>
          <w:lang w:val="en-US" w:eastAsia="zh-CN"/>
        </w:rPr>
        <w:t>2024年，共完成评审项目550个，其中：审核预算项目464个，送审金额33.56亿元，核减5.57亿元，</w:t>
      </w:r>
      <w:r>
        <w:rPr>
          <w:rFonts w:hint="default" w:ascii="Times New Roman" w:hAnsi="Times New Roman" w:eastAsia="仿宋" w:cs="Times New Roman"/>
          <w:color w:val="auto"/>
          <w:sz w:val="32"/>
          <w:szCs w:val="40"/>
          <w:lang w:val="en-US" w:eastAsia="zh-CN"/>
        </w:rPr>
        <w:t>审减率16.61%</w:t>
      </w:r>
      <w:r>
        <w:rPr>
          <w:rFonts w:hint="eastAsia" w:eastAsia="仿宋_GB2312" w:cs="Arial"/>
          <w:color w:val="auto"/>
          <w:sz w:val="32"/>
          <w:u w:val="none"/>
          <w:lang w:val="en-US" w:eastAsia="zh-CN"/>
        </w:rPr>
        <w:t>；审核结算项目86个，送审金额3.3亿元，核减0.22亿元，</w:t>
      </w:r>
      <w:r>
        <w:rPr>
          <w:rFonts w:hint="default" w:ascii="Times New Roman" w:hAnsi="Times New Roman" w:eastAsia="仿宋" w:cs="Times New Roman"/>
          <w:color w:val="auto"/>
          <w:sz w:val="32"/>
          <w:szCs w:val="40"/>
          <w:lang w:val="en-US" w:eastAsia="zh-CN"/>
        </w:rPr>
        <w:t>审减率6.84%</w:t>
      </w:r>
      <w:r>
        <w:rPr>
          <w:rFonts w:hint="eastAsia" w:eastAsia="仿宋_GB2312" w:cs="Arial"/>
          <w:color w:val="auto"/>
          <w:sz w:val="32"/>
          <w:u w:val="none"/>
          <w:lang w:val="en-US" w:eastAsia="zh-CN"/>
        </w:rPr>
        <w:t>。</w:t>
      </w:r>
      <w:r>
        <w:rPr>
          <w:rFonts w:hint="eastAsia" w:eastAsia="仿宋_GB2312" w:cs="Arial"/>
          <w:b/>
          <w:bCs/>
          <w:color w:val="auto"/>
          <w:sz w:val="32"/>
          <w:u w:val="none"/>
          <w:lang w:val="en-US" w:eastAsia="zh-CN"/>
        </w:rPr>
        <w:t>五是加强政府采购管理。</w:t>
      </w:r>
      <w:r>
        <w:rPr>
          <w:rFonts w:hint="eastAsia" w:eastAsia="仿宋_GB2312" w:cs="Arial"/>
          <w:color w:val="auto"/>
          <w:sz w:val="32"/>
          <w:u w:val="none"/>
          <w:lang w:val="en-US" w:eastAsia="zh-CN"/>
        </w:rPr>
        <w:t>2024年，我市限额标准以上交易项目共有187个，采购预算6.85亿元，实际成交金额6.03亿元，节资率12%。</w:t>
      </w:r>
      <w:r>
        <w:rPr>
          <w:rFonts w:hint="eastAsia" w:eastAsia="仿宋_GB2312" w:cs="Arial"/>
          <w:b/>
          <w:bCs/>
          <w:color w:val="auto"/>
          <w:sz w:val="32"/>
          <w:u w:val="none"/>
          <w:lang w:val="en-US" w:eastAsia="zh-CN"/>
        </w:rPr>
        <w:t>六是深入实施预算绩效评价管理。</w:t>
      </w:r>
      <w:r>
        <w:rPr>
          <w:rFonts w:hint="eastAsia" w:eastAsia="仿宋_GB2312" w:cs="Arial"/>
          <w:color w:val="auto"/>
          <w:sz w:val="32"/>
          <w:u w:val="none"/>
          <w:lang w:val="en-US" w:eastAsia="zh-CN"/>
        </w:rPr>
        <w:t>完成6个整体支出绩效评价、12个项目支出绩效评价、1个财审联动评价，主要涉及群众百姓关注的民生项目，如教育、医疗、社保等，涉及总资金17.28亿元。另外，44个单位完成中央转移支付绩效自评，涉及总资金25亿。</w:t>
      </w:r>
      <w:r>
        <w:rPr>
          <w:rFonts w:hint="eastAsia" w:eastAsia="仿宋_GB2312" w:cs="Arial"/>
          <w:b/>
          <w:bCs/>
          <w:color w:val="auto"/>
          <w:sz w:val="32"/>
          <w:u w:val="none"/>
          <w:lang w:val="en-US" w:eastAsia="zh-CN"/>
        </w:rPr>
        <w:t>七是规范政府购买服务行为。</w:t>
      </w:r>
      <w:r>
        <w:rPr>
          <w:rFonts w:hint="eastAsia" w:eastAsia="仿宋_GB2312" w:cs="Arial"/>
          <w:color w:val="auto"/>
          <w:sz w:val="32"/>
          <w:u w:val="none"/>
          <w:lang w:val="en-US" w:eastAsia="zh-CN"/>
        </w:rPr>
        <w:t>出台《常宁市政府购买服务管理实施办法》，规范政府购买服务行为</w:t>
      </w:r>
      <w:r>
        <w:rPr>
          <w:rFonts w:hint="eastAsia" w:eastAsia="仿宋_GB2312" w:cs="Arial"/>
          <w:color w:val="auto"/>
          <w:sz w:val="32"/>
          <w:lang w:val="en-US" w:eastAsia="zh-CN"/>
        </w:rPr>
        <w:t>。</w:t>
      </w:r>
      <w:r>
        <w:rPr>
          <w:rFonts w:hint="eastAsia" w:eastAsia="仿宋_GB2312" w:cs="Arial"/>
          <w:b/>
          <w:bCs/>
          <w:color w:val="auto"/>
          <w:sz w:val="32"/>
          <w:lang w:val="en-US" w:eastAsia="zh-CN"/>
        </w:rPr>
        <w:t>八是强化制度管控。</w:t>
      </w:r>
      <w:r>
        <w:rPr>
          <w:rFonts w:hint="eastAsia" w:eastAsia="仿宋_GB2312" w:cs="Arial"/>
          <w:color w:val="auto"/>
          <w:sz w:val="32"/>
          <w:lang w:val="en-US" w:eastAsia="zh-CN"/>
        </w:rPr>
        <w:t>出台《常宁市财政管理改革“四大攻坚”实施方案》（常政办发﹝2024﹞15号），明确二十三条政策措施。同时，出台《关于坚决贯彻落实党政机关习惯过紧日子要求的通知》</w:t>
      </w:r>
      <w:r>
        <w:rPr>
          <w:rFonts w:hint="eastAsia" w:ascii="仿宋_GB2312" w:hAnsi="仿宋_GB2312" w:eastAsia="仿宋_GB2312" w:cs="仿宋_GB2312"/>
          <w:b w:val="0"/>
          <w:bCs/>
          <w:color w:val="auto"/>
          <w:sz w:val="32"/>
          <w:szCs w:val="32"/>
          <w:highlight w:val="none"/>
          <w:u w:val="none"/>
          <w:lang w:val="en-US" w:eastAsia="zh-CN"/>
        </w:rPr>
        <w:t>（常办电发</w:t>
      </w: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b w:val="0"/>
          <w:bCs/>
          <w:color w:val="auto"/>
          <w:sz w:val="32"/>
          <w:szCs w:val="32"/>
          <w:highlight w:val="none"/>
          <w:u w:val="none"/>
          <w:lang w:val="en-US" w:eastAsia="zh-CN"/>
        </w:rPr>
        <w:t>13号）</w:t>
      </w:r>
      <w:r>
        <w:rPr>
          <w:rFonts w:hint="eastAsia" w:eastAsia="仿宋_GB2312" w:cs="Arial"/>
          <w:color w:val="auto"/>
          <w:sz w:val="32"/>
          <w:lang w:val="en-US" w:eastAsia="zh-CN"/>
        </w:rPr>
        <w:t>，严肃二十六条财经纪律，全面落实习惯“过紧日子”要求。另外，结合我市预算管理实际，制定了《2025年部门预算编制工作实施方案》，坚持“零基预算”、“以收定支”、“兜底线、防风险”、过“紧日子”、“绩效管理”五项原则。</w:t>
      </w:r>
      <w:r>
        <w:rPr>
          <w:rFonts w:hint="eastAsia" w:eastAsia="仿宋_GB2312" w:cs="Arial"/>
          <w:b/>
          <w:bCs/>
          <w:color w:val="auto"/>
          <w:sz w:val="32"/>
          <w:lang w:val="en-US" w:eastAsia="zh-CN"/>
        </w:rPr>
        <w:t>九是统筹做好其他工作。</w:t>
      </w:r>
      <w:r>
        <w:rPr>
          <w:rFonts w:hint="eastAsia" w:eastAsia="仿宋_GB2312" w:cs="Arial"/>
          <w:color w:val="auto"/>
          <w:sz w:val="32"/>
          <w:lang w:val="en-US" w:eastAsia="zh-CN"/>
        </w:rPr>
        <w:t>加强支付审核，严防库款“以拨作支”，</w:t>
      </w:r>
      <w:r>
        <w:rPr>
          <w:rFonts w:hint="eastAsia" w:ascii="仿宋_GB2312" w:hAnsi="仿宋_GB2312" w:eastAsia="仿宋_GB2312" w:cs="仿宋_GB2312"/>
          <w:b w:val="0"/>
          <w:bCs w:val="0"/>
          <w:sz w:val="32"/>
          <w:szCs w:val="32"/>
          <w:lang w:val="en-US" w:eastAsia="zh-CN"/>
        </w:rPr>
        <w:t>确保财政资金支付</w:t>
      </w:r>
      <w:r>
        <w:rPr>
          <w:rFonts w:hint="eastAsia" w:ascii="仿宋_GB2312" w:hAnsi="仿宋_GB2312" w:eastAsia="仿宋_GB2312" w:cs="仿宋_GB2312"/>
          <w:sz w:val="32"/>
          <w:szCs w:val="32"/>
          <w:lang w:val="en-US" w:eastAsia="zh-CN"/>
        </w:rPr>
        <w:t>直达商品、服务的供应商或收款人。</w:t>
      </w:r>
      <w:r>
        <w:rPr>
          <w:rFonts w:hint="eastAsia" w:eastAsia="仿宋_GB2312" w:cs="Arial"/>
          <w:color w:val="auto"/>
          <w:sz w:val="32"/>
          <w:lang w:val="en-US" w:eastAsia="zh-CN"/>
        </w:rPr>
        <w:t>全面推进阳关审批系统建设，</w:t>
      </w:r>
      <w:r>
        <w:rPr>
          <w:rFonts w:hint="eastAsia" w:eastAsia="仿宋_GB2312" w:cs="Arial"/>
          <w:color w:val="auto"/>
          <w:sz w:val="32"/>
          <w:u w:val="none"/>
          <w:lang w:val="en-US" w:eastAsia="zh-CN"/>
        </w:rPr>
        <w:t>通过惠农惠民补贴资金“一卡通”发放83个项目，累计发放资金44538.3万元，切实保障农民权益。做好PPP项目分类处置，压减财政支出责任近20亿元。出台《常宁市财政暂付款清收化解实施方</w:t>
      </w:r>
      <w:r>
        <w:rPr>
          <w:rFonts w:hint="eastAsia" w:eastAsia="仿宋_GB2312" w:cs="Arial"/>
          <w:color w:val="auto"/>
          <w:sz w:val="32"/>
          <w:lang w:val="en-US" w:eastAsia="zh-CN"/>
        </w:rPr>
        <w:t>案》，力争在五年内将暂付款余额降至5%的控制范围内。</w:t>
      </w:r>
    </w:p>
    <w:p w14:paraId="171F948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lang w:val="en-US" w:eastAsia="zh-CN"/>
        </w:rPr>
        <w:t>（五）加强财政监督，筑牢风险防线</w:t>
      </w:r>
      <w:r>
        <w:rPr>
          <w:rFonts w:hint="eastAsia" w:eastAsia="仿宋_GB2312" w:cs="Arial"/>
          <w:b/>
          <w:bCs/>
          <w:color w:val="auto"/>
          <w:sz w:val="32"/>
          <w:lang w:val="en-US" w:eastAsia="zh-CN"/>
        </w:rPr>
        <w:t>。一是强化村级财务检查。</w:t>
      </w:r>
      <w:r>
        <w:rPr>
          <w:rFonts w:hint="eastAsia" w:eastAsia="仿宋_GB2312" w:cs="Arial"/>
          <w:color w:val="auto"/>
          <w:sz w:val="32"/>
          <w:lang w:val="en-US" w:eastAsia="zh-CN"/>
        </w:rPr>
        <w:t>对村级财务管理工作进行全覆盖检查，严肃财经纪律。</w:t>
      </w:r>
      <w:r>
        <w:rPr>
          <w:rFonts w:hint="eastAsia" w:eastAsia="仿宋_GB2312" w:cs="Arial"/>
          <w:b/>
          <w:bCs/>
          <w:color w:val="auto"/>
          <w:sz w:val="32"/>
          <w:lang w:val="en-US" w:eastAsia="zh-CN"/>
        </w:rPr>
        <w:t>二是紧盯财政源头反腐。</w:t>
      </w:r>
      <w:r>
        <w:rPr>
          <w:rFonts w:hint="eastAsia" w:eastAsia="仿宋_GB2312" w:cs="Arial"/>
          <w:color w:val="auto"/>
          <w:sz w:val="32"/>
          <w:lang w:val="en-US" w:eastAsia="zh-CN"/>
        </w:rPr>
        <w:t>充分发挥财政源头防腐作用，对惠农补贴的发放情况进行全程监督，确保惠民惠农资金安全。</w:t>
      </w:r>
      <w:r>
        <w:rPr>
          <w:rFonts w:hint="eastAsia" w:eastAsia="仿宋_GB2312" w:cs="Arial"/>
          <w:b/>
          <w:bCs/>
          <w:color w:val="auto"/>
          <w:sz w:val="32"/>
          <w:lang w:val="en-US" w:eastAsia="zh-CN"/>
        </w:rPr>
        <w:t>三是科技赋能补贴发放。</w:t>
      </w:r>
      <w:r>
        <w:rPr>
          <w:rFonts w:hint="eastAsia" w:eastAsia="仿宋_GB2312" w:cs="Arial"/>
          <w:color w:val="auto"/>
          <w:sz w:val="32"/>
          <w:lang w:val="en-US" w:eastAsia="zh-CN"/>
        </w:rPr>
        <w:t>会同市农业农村局对乡镇申报的早稻种植面积，采用无人机航拍技术测量面积方式进行抽查核定，确保农业补贴精准发放</w:t>
      </w:r>
      <w:r>
        <w:rPr>
          <w:rFonts w:hint="eastAsia" w:eastAsia="仿宋_GB2312" w:cs="Arial"/>
          <w:b/>
          <w:bCs/>
          <w:color w:val="auto"/>
          <w:sz w:val="32"/>
          <w:lang w:val="en-US" w:eastAsia="zh-CN"/>
        </w:rPr>
        <w:t>。</w:t>
      </w:r>
      <w:r>
        <w:rPr>
          <w:rFonts w:hint="eastAsia" w:eastAsia="仿宋_GB2312" w:cs="Arial"/>
          <w:b/>
          <w:bCs/>
          <w:color w:val="auto"/>
          <w:sz w:val="32"/>
          <w:u w:val="none"/>
          <w:lang w:val="en-US" w:eastAsia="zh-CN"/>
        </w:rPr>
        <w:t>四是践行宗旨全面排查。</w:t>
      </w:r>
      <w:r>
        <w:rPr>
          <w:rFonts w:hint="eastAsia" w:eastAsia="仿宋_GB2312" w:cs="Arial"/>
          <w:color w:val="auto"/>
          <w:sz w:val="32"/>
          <w:u w:val="none"/>
          <w:lang w:val="en-US" w:eastAsia="zh-CN"/>
        </w:rPr>
        <w:t>按照群腐专项整治及优化营商环境专项整治工作安排，着力对农业口、经建口、社保口、企业口及乡财口的惠民惠农补贴资金拨付及使用情况进行全面排查，将问题线索及时移交。</w:t>
      </w:r>
      <w:r>
        <w:rPr>
          <w:rFonts w:hint="eastAsia" w:eastAsia="仿宋_GB2312" w:cs="Arial"/>
          <w:b/>
          <w:bCs/>
          <w:color w:val="auto"/>
          <w:sz w:val="32"/>
          <w:u w:val="none"/>
          <w:lang w:val="en-US" w:eastAsia="zh-CN"/>
        </w:rPr>
        <w:t>五是围绕问题抓实整改。</w:t>
      </w:r>
      <w:r>
        <w:rPr>
          <w:rFonts w:hint="eastAsia" w:eastAsia="仿宋_GB2312" w:cs="Arial"/>
          <w:color w:val="auto"/>
          <w:sz w:val="32"/>
          <w:u w:val="none"/>
          <w:lang w:val="en-US" w:eastAsia="zh-CN"/>
        </w:rPr>
        <w:t>对标省委巡视、省市调研、市委专项巡察、同级审计等反馈问题，切实做好整改“后半篇”文章。</w:t>
      </w:r>
    </w:p>
    <w:p w14:paraId="0472CABA">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（六）强化党建领航，把稳财政方向。</w:t>
      </w:r>
      <w:r>
        <w:rPr>
          <w:rFonts w:hint="eastAsia" w:eastAsia="仿宋_GB2312" w:cs="Arial"/>
          <w:b/>
          <w:bCs/>
          <w:color w:val="auto"/>
          <w:sz w:val="32"/>
          <w:lang w:val="en-US" w:eastAsia="zh-CN"/>
        </w:rPr>
        <w:t>一是加强政治建设。</w:t>
      </w:r>
      <w:r>
        <w:rPr>
          <w:rFonts w:hint="eastAsia" w:eastAsia="仿宋_GB2312" w:cs="Arial"/>
          <w:color w:val="auto"/>
          <w:sz w:val="32"/>
          <w:lang w:val="en-US" w:eastAsia="zh-CN"/>
        </w:rPr>
        <w:t>始终牢记财政政治属性，强化政治意识和服从意识，坚持以政领财、以财辅政，全面贯彻落实市委、市政府重大部署和重点工作，全力维护社会大局稳定，为全市经济社会健康发展提供财力支撑。</w:t>
      </w:r>
      <w:r>
        <w:rPr>
          <w:rFonts w:hint="eastAsia" w:eastAsia="仿宋_GB2312" w:cs="Arial"/>
          <w:b/>
          <w:bCs/>
          <w:color w:val="auto"/>
          <w:sz w:val="32"/>
          <w:lang w:val="en-US" w:eastAsia="zh-CN"/>
        </w:rPr>
        <w:t>二是提高队伍素质。</w:t>
      </w:r>
      <w:r>
        <w:rPr>
          <w:rFonts w:hint="eastAsia" w:eastAsia="仿宋_GB2312" w:cs="Arial"/>
          <w:color w:val="auto"/>
          <w:sz w:val="32"/>
          <w:lang w:val="en-US" w:eastAsia="zh-CN"/>
        </w:rPr>
        <w:t>组织45名财政干部赴湖南财经职业技术学院进行为期105天的脱产学习，全面提升干部业务能力。</w:t>
      </w:r>
      <w:r>
        <w:rPr>
          <w:rFonts w:hint="eastAsia" w:eastAsia="仿宋_GB2312" w:cs="Arial"/>
          <w:b/>
          <w:bCs/>
          <w:color w:val="auto"/>
          <w:sz w:val="32"/>
          <w:lang w:val="en-US" w:eastAsia="zh-CN"/>
        </w:rPr>
        <w:t>三是壮大干部队伍。</w:t>
      </w:r>
      <w:r>
        <w:rPr>
          <w:rFonts w:hint="eastAsia" w:eastAsia="仿宋_GB2312" w:cs="Arial"/>
          <w:color w:val="auto"/>
          <w:sz w:val="32"/>
          <w:lang w:val="en-US" w:eastAsia="zh-CN"/>
        </w:rPr>
        <w:t>公开招录8名干部，充实乡镇财政所工作力量。到各单位选调3名专技人员到财评中心工作，充实专技力量。选调1名事业单位工作人员，充实文秘工作力量。另外，为缓解财评人员短缺现状，面向社会招聘了5名专技人员。</w:t>
      </w:r>
      <w:r>
        <w:rPr>
          <w:rFonts w:hint="eastAsia" w:eastAsia="仿宋_GB2312" w:cs="Arial"/>
          <w:b/>
          <w:bCs/>
          <w:color w:val="auto"/>
          <w:sz w:val="32"/>
          <w:lang w:val="en-US" w:eastAsia="zh-CN"/>
        </w:rPr>
        <w:t>四是加强廉政建设。</w:t>
      </w:r>
      <w:r>
        <w:rPr>
          <w:rFonts w:hint="eastAsia" w:eastAsia="仿宋_GB2312" w:cs="Arial"/>
          <w:color w:val="auto"/>
          <w:sz w:val="32"/>
          <w:lang w:val="en-US" w:eastAsia="zh-CN"/>
        </w:rPr>
        <w:t>传达学习贯彻常宁市十三届纪委第四次全会精神，以市委开展常规巡察、群腐专项巡察及优化营商环境专项整治工作为契机，全面加强党风廉政建设和干部作风建设。同时，通过观看</w:t>
      </w:r>
      <w:r>
        <w:rPr>
          <w:rFonts w:hint="eastAsia" w:ascii="仿宋_GB2312" w:hAnsi="仿宋_GB2312" w:eastAsia="仿宋_GB2312" w:cs="仿宋_GB2312"/>
          <w:color w:val="auto"/>
          <w:sz w:val="32"/>
          <w:szCs w:val="32"/>
          <w:lang w:eastAsia="zh-CN"/>
        </w:rPr>
        <w:t>典型案件</w:t>
      </w:r>
      <w:r>
        <w:rPr>
          <w:rFonts w:hint="eastAsia" w:eastAsia="仿宋_GB2312" w:cs="Arial"/>
          <w:color w:val="auto"/>
          <w:sz w:val="32"/>
          <w:lang w:val="en-US" w:eastAsia="zh-CN"/>
        </w:rPr>
        <w:t>警示教育片、邀请市纪监委领导上廉政党课、</w:t>
      </w:r>
      <w:r>
        <w:rPr>
          <w:rFonts w:hint="eastAsia" w:ascii="仿宋_GB2312" w:hAnsi="仿宋_GB2312" w:eastAsia="仿宋_GB2312" w:cs="仿宋_GB2312"/>
          <w:color w:val="auto"/>
          <w:sz w:val="32"/>
          <w:szCs w:val="32"/>
          <w:lang w:val="en-US" w:eastAsia="zh-CN"/>
        </w:rPr>
        <w:t>签订廉洁自律承诺书</w:t>
      </w:r>
      <w:r>
        <w:rPr>
          <w:rFonts w:hint="eastAsia" w:eastAsia="仿宋_GB2312" w:cs="Arial"/>
          <w:color w:val="auto"/>
          <w:sz w:val="32"/>
          <w:lang w:val="en-US" w:eastAsia="zh-CN"/>
        </w:rPr>
        <w:t>等，时刻敲响财政干部廉政建设警钟。</w:t>
      </w:r>
      <w:r>
        <w:rPr>
          <w:rFonts w:hint="eastAsia" w:ascii="仿宋_GB2312" w:hAnsi="仿宋_GB2312" w:eastAsia="仿宋_GB2312" w:cs="仿宋_GB2312"/>
          <w:b/>
          <w:bCs/>
          <w:color w:val="auto"/>
          <w:sz w:val="32"/>
          <w:szCs w:val="32"/>
          <w:lang w:val="en-US" w:eastAsia="zh-CN"/>
        </w:rPr>
        <w:t>五是加强文体活动开展。</w:t>
      </w:r>
      <w:r>
        <w:rPr>
          <w:rFonts w:hint="eastAsia" w:ascii="仿宋_GB2312" w:hAnsi="仿宋_GB2312" w:eastAsia="仿宋_GB2312" w:cs="仿宋_GB2312"/>
          <w:color w:val="auto"/>
          <w:sz w:val="32"/>
          <w:szCs w:val="32"/>
          <w:lang w:val="en-US" w:eastAsia="zh-CN"/>
        </w:rPr>
        <w:t>通过开</w:t>
      </w:r>
      <w:r>
        <w:rPr>
          <w:rFonts w:hint="eastAsia" w:ascii="仿宋_GB2312" w:hAnsi="仿宋_GB2312" w:eastAsia="仿宋_GB2312" w:cs="仿宋_GB2312"/>
          <w:b w:val="0"/>
          <w:bCs w:val="0"/>
          <w:color w:val="auto"/>
          <w:sz w:val="32"/>
          <w:szCs w:val="32"/>
          <w:lang w:val="en-US" w:eastAsia="zh-CN"/>
        </w:rPr>
        <w:t>展退休</w:t>
      </w:r>
      <w:r>
        <w:rPr>
          <w:rFonts w:hint="eastAsia" w:ascii="仿宋_GB2312" w:hAnsi="仿宋_GB2312" w:eastAsia="仿宋_GB2312" w:cs="仿宋_GB2312"/>
          <w:color w:val="auto"/>
          <w:sz w:val="32"/>
          <w:szCs w:val="32"/>
          <w:lang w:val="en-US" w:eastAsia="zh-CN"/>
        </w:rPr>
        <w:t>老领导和困难职工走访慰问，组织开展主题党日活动、保健知识讲座，重阳节茶话会、财政系统乒乓球赛等丰富多彩的文体活动，切实提高了干部职工的凝聚力和向心力。</w:t>
      </w:r>
    </w:p>
    <w:p w14:paraId="19898DC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eastAsia="仿宋_GB2312" w:cs="Times New Roman" w:asciiTheme="minorHAnsi" w:hAnsiTheme="minorHAnsi"/>
          <w:color w:val="000000"/>
          <w:kern w:val="2"/>
          <w:sz w:val="32"/>
          <w:szCs w:val="22"/>
          <w:lang w:val="en-US" w:eastAsia="zh-CN" w:bidi="ar-SA"/>
        </w:rPr>
      </w:pPr>
      <w:r>
        <w:rPr>
          <w:rFonts w:hint="eastAsia" w:ascii="仿宋_GB2312" w:hAnsi="仿宋_GB2312" w:eastAsia="仿宋_GB2312" w:cs="仿宋_GB2312"/>
          <w:color w:val="auto"/>
          <w:sz w:val="32"/>
          <w:szCs w:val="32"/>
          <w:lang w:val="en-US" w:eastAsia="zh-CN"/>
        </w:rPr>
        <w:t>尽管当前财政工作取得了一定的成绩，但存在一些问题仍不容小视，主要体现为：</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kern w:val="2"/>
          <w:sz w:val="32"/>
          <w:szCs w:val="32"/>
          <w:lang w:val="en-US" w:eastAsia="zh-CN" w:bidi="ar-SA"/>
        </w:rPr>
        <w:t>财政收支矛盾大。</w:t>
      </w:r>
      <w:r>
        <w:rPr>
          <w:rFonts w:hint="eastAsia" w:ascii="仿宋_GB2312" w:hAnsi="仿宋_GB2312" w:eastAsia="仿宋_GB2312" w:cs="仿宋_GB2312"/>
          <w:b/>
          <w:bCs/>
          <w:color w:val="auto"/>
          <w:kern w:val="2"/>
          <w:sz w:val="32"/>
          <w:szCs w:val="32"/>
          <w:lang w:val="en-US" w:eastAsia="zh-CN" w:bidi="ar-SA"/>
        </w:rPr>
        <w:t>二是</w:t>
      </w:r>
      <w:r>
        <w:rPr>
          <w:rFonts w:hint="eastAsia" w:eastAsia="仿宋_GB2312" w:cs="Times New Roman" w:asciiTheme="minorHAnsi" w:hAnsiTheme="minorHAnsi"/>
          <w:color w:val="000000"/>
          <w:kern w:val="2"/>
          <w:sz w:val="32"/>
          <w:szCs w:val="22"/>
          <w:lang w:val="en-US" w:eastAsia="zh-CN" w:bidi="ar-SA"/>
        </w:rPr>
        <w:t>刚性支出规模大。</w:t>
      </w:r>
      <w:r>
        <w:rPr>
          <w:rFonts w:hint="eastAsia" w:eastAsia="仿宋_GB2312" w:cs="Times New Roman"/>
          <w:b/>
          <w:bCs/>
          <w:color w:val="000000"/>
          <w:kern w:val="2"/>
          <w:sz w:val="32"/>
          <w:szCs w:val="22"/>
          <w:lang w:val="en-US" w:eastAsia="zh-CN" w:bidi="ar-SA"/>
        </w:rPr>
        <w:t>三是</w:t>
      </w:r>
      <w:r>
        <w:rPr>
          <w:rFonts w:hint="eastAsia" w:eastAsia="仿宋_GB2312" w:cs="Times New Roman" w:asciiTheme="minorHAnsi" w:hAnsiTheme="minorHAnsi"/>
          <w:color w:val="000000"/>
          <w:kern w:val="2"/>
          <w:sz w:val="32"/>
          <w:szCs w:val="22"/>
          <w:lang w:val="en-US" w:eastAsia="zh-CN" w:bidi="ar-SA"/>
        </w:rPr>
        <w:t>库款资金调度难。</w:t>
      </w:r>
      <w:r>
        <w:rPr>
          <w:rFonts w:hint="eastAsia" w:eastAsia="仿宋_GB2312" w:cs="Times New Roman"/>
          <w:b/>
          <w:bCs/>
          <w:color w:val="000000"/>
          <w:kern w:val="2"/>
          <w:sz w:val="32"/>
          <w:szCs w:val="22"/>
          <w:lang w:val="en-US" w:eastAsia="zh-CN" w:bidi="ar-SA"/>
        </w:rPr>
        <w:t>四是</w:t>
      </w:r>
      <w:r>
        <w:rPr>
          <w:rFonts w:hint="eastAsia" w:eastAsia="仿宋_GB2312" w:cs="Times New Roman" w:asciiTheme="minorHAnsi" w:hAnsiTheme="minorHAnsi"/>
          <w:color w:val="000000"/>
          <w:kern w:val="2"/>
          <w:sz w:val="32"/>
          <w:szCs w:val="22"/>
          <w:lang w:val="en-US" w:eastAsia="zh-CN" w:bidi="ar-SA"/>
        </w:rPr>
        <w:t>财政运行风险</w:t>
      </w:r>
      <w:r>
        <w:rPr>
          <w:rFonts w:hint="eastAsia" w:eastAsia="仿宋_GB2312" w:cs="Times New Roman"/>
          <w:color w:val="000000"/>
          <w:kern w:val="2"/>
          <w:sz w:val="32"/>
          <w:szCs w:val="22"/>
          <w:lang w:val="en-US" w:eastAsia="zh-CN" w:bidi="ar-SA"/>
        </w:rPr>
        <w:t>较</w:t>
      </w:r>
      <w:r>
        <w:rPr>
          <w:rFonts w:hint="eastAsia" w:eastAsia="仿宋_GB2312" w:cs="Times New Roman" w:asciiTheme="minorHAnsi" w:hAnsiTheme="minorHAnsi"/>
          <w:color w:val="000000"/>
          <w:kern w:val="2"/>
          <w:sz w:val="32"/>
          <w:szCs w:val="22"/>
          <w:lang w:val="en-US" w:eastAsia="zh-CN" w:bidi="ar-SA"/>
        </w:rPr>
        <w:t>大。</w:t>
      </w:r>
      <w:r>
        <w:rPr>
          <w:rFonts w:hint="eastAsia" w:eastAsia="仿宋_GB2312" w:cs="Times New Roman"/>
          <w:b/>
          <w:bCs/>
          <w:color w:val="000000"/>
          <w:kern w:val="2"/>
          <w:sz w:val="32"/>
          <w:szCs w:val="22"/>
          <w:lang w:val="en-US" w:eastAsia="zh-CN" w:bidi="ar-SA"/>
        </w:rPr>
        <w:t>五是</w:t>
      </w:r>
      <w:r>
        <w:rPr>
          <w:rFonts w:hint="eastAsia" w:ascii="仿宋_GB2312" w:hAnsi="仿宋_GB2312" w:eastAsia="仿宋_GB2312" w:cs="仿宋_GB2312"/>
          <w:color w:val="auto"/>
          <w:sz w:val="32"/>
          <w:szCs w:val="32"/>
          <w:lang w:val="en-US" w:eastAsia="zh-CN"/>
        </w:rPr>
        <w:t>财政干部队伍青黄不接。</w:t>
      </w: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color w:val="auto"/>
          <w:sz w:val="32"/>
          <w:szCs w:val="32"/>
          <w:lang w:val="en-US" w:eastAsia="zh-CN"/>
        </w:rPr>
        <w:t>干部职工财政业务能力有待进一步提升。对此，我局将积极采取措施，切实加以解决。</w:t>
      </w:r>
    </w:p>
    <w:p w14:paraId="6BD23AF7">
      <w:pPr>
        <w:overflowPunct w:val="0"/>
        <w:spacing w:line="560" w:lineRule="exact"/>
        <w:ind w:firstLine="1056" w:firstLineChars="330"/>
        <w:rPr>
          <w:rFonts w:ascii="Times New Roman" w:hAnsi="Times New Roman" w:eastAsia="仿宋_GB2312" w:cs="Times New Roman"/>
          <w:color w:val="000000"/>
          <w:sz w:val="32"/>
          <w:szCs w:val="32"/>
        </w:rPr>
      </w:pPr>
    </w:p>
    <w:p w14:paraId="5B4BC9C8">
      <w:pPr>
        <w:pStyle w:val="8"/>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存在的问题及原因分析</w:t>
      </w:r>
    </w:p>
    <w:p w14:paraId="2075154A">
      <w:pPr>
        <w:pStyle w:val="9"/>
        <w:widowControl/>
        <w:spacing w:line="600" w:lineRule="exact"/>
        <w:ind w:firstLine="640"/>
        <w:rPr>
          <w:rFonts w:ascii="Times New Roman" w:hAnsi="Times New Roman" w:eastAsia="黑体" w:cs="Times New Roman"/>
          <w:sz w:val="32"/>
          <w:szCs w:val="32"/>
        </w:rPr>
      </w:pPr>
      <w:r>
        <w:rPr>
          <w:rFonts w:hint="eastAsia" w:ascii="仿宋_GB2312" w:hAnsi="仿宋_GB2312" w:eastAsia="仿宋_GB2312" w:cs="仿宋_GB2312"/>
          <w:sz w:val="32"/>
          <w:szCs w:val="32"/>
        </w:rPr>
        <w:t>单位开展预算绩效管理的水平有待提高，由于预算绩效管理工作开展时间较短，缺乏系统、全面的知识培训，影响预算绩效管理工作的有效开展及推进。</w:t>
      </w:r>
    </w:p>
    <w:p w14:paraId="33758DB8">
      <w:pPr>
        <w:pStyle w:val="9"/>
        <w:widowControl/>
        <w:numPr>
          <w:ilvl w:val="0"/>
          <w:numId w:val="1"/>
        </w:numPr>
        <w:spacing w:line="600" w:lineRule="exact"/>
        <w:ind w:left="840" w:firstLineChars="0"/>
        <w:jc w:val="left"/>
        <w:rPr>
          <w:rFonts w:ascii="Times New Roman" w:hAnsi="Times New Roman" w:eastAsia="黑体" w:cs="Times New Roman"/>
          <w:sz w:val="32"/>
          <w:szCs w:val="32"/>
        </w:rPr>
      </w:pPr>
      <w:r>
        <w:rPr>
          <w:rFonts w:ascii="黑体" w:hAnsi="黑体" w:eastAsia="黑体" w:cs="Times New Roman"/>
          <w:sz w:val="32"/>
          <w:szCs w:val="32"/>
        </w:rPr>
        <w:t>下一步改进措施</w:t>
      </w:r>
    </w:p>
    <w:p w14:paraId="34FEC9B9">
      <w:pPr>
        <w:widowControl/>
        <w:spacing w:line="600" w:lineRule="exac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一是加强对本单位预算绩效评价管理工作的学习，进一步把握工作重点，不断提高预算绩效管理的水平。</w:t>
      </w:r>
    </w:p>
    <w:p w14:paraId="18A81494">
      <w:pPr>
        <w:widowControl/>
        <w:spacing w:line="600" w:lineRule="exact"/>
        <w:ind w:firstLine="42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二是加强对项目进度的监控，对年中追加的项目及时跟进，及时支付项目资金，提高预算指标执行率，确保本单位指标的合理利用。</w:t>
      </w:r>
    </w:p>
    <w:p w14:paraId="3037BA88">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部门整体支出绩效自评结果拟应用和公开情况</w:t>
      </w:r>
    </w:p>
    <w:p w14:paraId="4C865144">
      <w:pPr>
        <w:pStyle w:val="9"/>
        <w:widowControl/>
        <w:spacing w:line="600" w:lineRule="exact"/>
        <w:ind w:left="1360" w:firstLine="0" w:firstLineChars="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在本单位门户网站进行公开。</w:t>
      </w:r>
    </w:p>
    <w:p w14:paraId="26D6AAA5">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其他需要说明的情况</w:t>
      </w:r>
    </w:p>
    <w:p w14:paraId="572AE5F9">
      <w:pPr>
        <w:pStyle w:val="9"/>
        <w:widowControl/>
        <w:spacing w:line="600" w:lineRule="exact"/>
        <w:ind w:left="1360"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无。</w:t>
      </w:r>
    </w:p>
    <w:p w14:paraId="384738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72CCF"/>
    <w:multiLevelType w:val="multilevel"/>
    <w:tmpl w:val="51572CC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20449CB"/>
    <w:multiLevelType w:val="multilevel"/>
    <w:tmpl w:val="720449CB"/>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60"/>
    <w:rsid w:val="000B2137"/>
    <w:rsid w:val="00154CD3"/>
    <w:rsid w:val="001D34DE"/>
    <w:rsid w:val="002150F7"/>
    <w:rsid w:val="002D2F80"/>
    <w:rsid w:val="004075AA"/>
    <w:rsid w:val="00552FAE"/>
    <w:rsid w:val="006556D5"/>
    <w:rsid w:val="006A521F"/>
    <w:rsid w:val="007616CB"/>
    <w:rsid w:val="008C4FBE"/>
    <w:rsid w:val="009F3475"/>
    <w:rsid w:val="00A96F09"/>
    <w:rsid w:val="00AA102A"/>
    <w:rsid w:val="00AE0F45"/>
    <w:rsid w:val="00B33A89"/>
    <w:rsid w:val="00C53A60"/>
    <w:rsid w:val="00D036FE"/>
    <w:rsid w:val="00D31D6B"/>
    <w:rsid w:val="00D42617"/>
    <w:rsid w:val="00D56EEA"/>
    <w:rsid w:val="00E35FF5"/>
    <w:rsid w:val="00E804E0"/>
    <w:rsid w:val="00EE53AA"/>
    <w:rsid w:val="00F20BE3"/>
    <w:rsid w:val="00FA35EA"/>
    <w:rsid w:val="09313662"/>
    <w:rsid w:val="18BE7B6B"/>
    <w:rsid w:val="207C51FC"/>
    <w:rsid w:val="209D2EF4"/>
    <w:rsid w:val="256D1848"/>
    <w:rsid w:val="2D6B5C4A"/>
    <w:rsid w:val="2E636D89"/>
    <w:rsid w:val="39601FFC"/>
    <w:rsid w:val="41C73D80"/>
    <w:rsid w:val="495C67D2"/>
    <w:rsid w:val="75F75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宋体"/>
      <w:kern w:val="0"/>
      <w:sz w:val="28"/>
      <w:szCs w:val="28"/>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列出段落1"/>
    <w:basedOn w:val="1"/>
    <w:uiPriority w:val="0"/>
    <w:pPr>
      <w:ind w:firstLine="420" w:firstLineChars="200"/>
    </w:pPr>
    <w:rPr>
      <w:rFonts w:ascii="Calibri" w:hAnsi="Calibri" w:eastAsia="宋体" w:cs="Calibri"/>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5476</Words>
  <Characters>5962</Characters>
  <Lines>16</Lines>
  <Paragraphs>4</Paragraphs>
  <TotalTime>0</TotalTime>
  <ScaleCrop>false</ScaleCrop>
  <LinksUpToDate>false</LinksUpToDate>
  <CharactersWithSpaces>5987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2025-03-30T13:26:00Z</dcterms:created>
  <dc:creator>Lenovo</dc:creator>
  <cp:lastModifiedBy>Administrator</cp:lastModifiedBy>
  <dcterms:modified xsi:type="dcterms:W3CDTF">2025-08-27T00:42:36Z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eyJoZGlkIjoiN2E1MjYzYWZhYjJlYzY2OThkMjUwZTgwMjNhZDFiZWEifQ==</vt:lpwstr>
  </property>
  <property fmtid="{D5CDD505-2E9C-101B-9397-08002B2CF9AE}" pid="3" name="KSOProductBuildVer">
    <vt:lpwstr>2052-12.1.0.22529</vt:lpwstr>
  </property>
  <property fmtid="{D5CDD505-2E9C-101B-9397-08002B2CF9AE}" pid="4" name="ICV">
    <vt:lpwstr>DCE81FFFAEAF4182ABE81A8C7C5CF76D_12</vt:lpwstr>
  </property>
</Properties>
</file>