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9974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1C6B383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194FE9DE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4241039A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732735F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ascii="方正小标宋_GBK" w:hAnsi="Times New Roman" w:eastAsia="方正小标宋_GBK" w:cs="Times New Roman"/>
          <w:sz w:val="52"/>
          <w:szCs w:val="52"/>
        </w:rPr>
        <w:t>中</w:t>
      </w:r>
      <w:r>
        <w:rPr>
          <w:rFonts w:ascii="方正小标宋_GBK" w:hAnsi="Times New Roman" w:eastAsia="方正小标宋_GBK" w:cs="Times New Roman"/>
          <w:sz w:val="52"/>
          <w:szCs w:val="52"/>
        </w:rPr>
        <w:t>共常宁市委党史研究室部门整体支出绩效自评报告</w:t>
      </w:r>
    </w:p>
    <w:bookmarkEnd w:id="0"/>
    <w:p w14:paraId="25B1CCAC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900E20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4141D3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25C3CC45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065693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8D7DCA9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E5014CD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C49B657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D15B7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81EB30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7BBFBB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44C236F9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中共常宁市委党史研究室</w:t>
      </w:r>
    </w:p>
    <w:p w14:paraId="4E4DB708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78D5867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FF137E5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276CC06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度中共常宁市委党史研究室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</w:t>
      </w:r>
    </w:p>
    <w:p w14:paraId="3F390AD5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绩效自评报告</w:t>
      </w:r>
    </w:p>
    <w:p w14:paraId="12C0720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5D2275A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B6E81CD"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71249F5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"/>
        </w:rPr>
        <w:t>（一）机构设置情况</w:t>
      </w:r>
    </w:p>
    <w:p w14:paraId="649EF24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45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常宁市委党史研究室（市地方志编纂室）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eastAsia="zh-CN"/>
        </w:rPr>
        <w:t>设下列内设机构：</w:t>
      </w:r>
    </w:p>
    <w:p w14:paraId="2FFC8FE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 xml:space="preserve"> （一）综合股。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负责中共常宁市委党史研究室（市地方志编纂室）内部工作关系及上传下达工作；负责文秘、档案管理、扶贫、党群党建、综治维稳、安全、机要、保密、信访等工作；负责机关物资、印鉴日常管理工作；负责会务、接待、离退休人员服务等后勤管理工作；负责机关人事、编制、社保、劳资、福利、统计、国有资产、财务工作。</w:t>
      </w:r>
    </w:p>
    <w:p w14:paraId="28BF06A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（二）党史征集研究股。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负责全市地方党史资料的征集和研究的组织管理工作；组织编写地方党史和地方党的活动大事记；负责本地区地方党史编纂规划及初审；协调指导有关党史社团组织的有关活动，负责全市重大党史题材出版物、影视音像作品史料审查工作；参与党史遗址保护、做好党史场馆建设、党史刊物出版发行的相关工作。</w:t>
      </w:r>
    </w:p>
    <w:p w14:paraId="5E00A4E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（三）地方志编纂股（常宁市人民政府《常宁年鉴》编辑部）。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负责拟订本地区地方志编纂规划；负责指导、督促和组织全市初审及报批审定的相关工作；负责拟订全市年鉴编纂计划，指导、督促编纂实施；负责组织编纂地方志志书、地方综合年鉴；负责开发利用地方志资源；搜集、保存地方志文献和资料，组织整理旧志，推动方志理论研究；负责对全市各综合志、乡镇街道志、行业志、部门志等志书志稿进行评审、验收；编发地方文献系列丛书；负责组织审定报批和出版发行的相关工作；组织开展全市地方志书的读志用志工作；负责建立年鉴资料库。</w:t>
      </w:r>
    </w:p>
    <w:p w14:paraId="45E5B76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（四）党史联络宣教股。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负责组织协调全市党史联络工作；负责老干部回忆录的征集、整理和出版；动员和组织广大老干部参与党史工作，负责市委党史联络组的日常服务工作；负责组织党史学习教育，提高广大党员、干部素质和能力；参与重大党史事件、重要党史人物的纪念活动，负责组织编写党史普及教育读物，扩大党史宣传、普及党史知识；负责做好党史纪念活动，深化党史事件和人物研究；负责“智慧党史”的开发、运行和管理。</w:t>
      </w:r>
    </w:p>
    <w:p w14:paraId="7D47E9E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 xml:space="preserve">  （五）党史、地方志资料股。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负责收集、保存、整理常宁市党史、地方志等资料；负责组织整理全市旧志，编发党史与地方文献丛书；负责党史馆（方志馆）建设；负责管理本地区地方史料；负责组建并管理本地区地情资料库；负责对政府拟对外公布和发布的相关地情资料进行初步审定；负责建设党史、地方志文献数据库，提供党史地情信息咨询服务等工作。</w:t>
      </w:r>
    </w:p>
    <w:p w14:paraId="7263824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640" w:right="0" w:firstLine="0" w:firstLineChars="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"/>
        </w:rPr>
        <w:t>（二）人员编制情况</w:t>
      </w:r>
    </w:p>
    <w:p w14:paraId="7ABD0BC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960" w:firstLineChars="300"/>
        <w:jc w:val="both"/>
        <w:rPr>
          <w:rFonts w:eastAsia="楷体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中共常宁市委党史研究室（市地方志编纂室）全额拨款事业编制11名。实有在职人员10名。</w:t>
      </w:r>
    </w:p>
    <w:p w14:paraId="7C0D8EBB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E121544"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40BE4752">
      <w:pPr>
        <w:pStyle w:val="9"/>
        <w:widowControl/>
        <w:spacing w:line="600" w:lineRule="exact"/>
        <w:ind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024年度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财政拨款总收入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133.23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101.93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31.3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万元，财政拨款支出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133.23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。其中：基本支出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101.93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万元，占财政拨款支出7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6.51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</w:t>
      </w:r>
      <w:r>
        <w:rPr>
          <w:rFonts w:ascii="仿宋_GB2312" w:hAnsi="仿宋_GB2312" w:eastAsia="仿宋_GB2312" w:cs="仿宋_GB2312"/>
          <w:bCs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31.3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万元，占财政拨款支出2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2.49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7F64C9A7"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721564A8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133.23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82.49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19.44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52C87C31">
      <w:pPr>
        <w:pStyle w:val="9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2029CFBD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31.23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一般公共服务支出</w:t>
      </w:r>
      <w:r>
        <w:rPr>
          <w:rFonts w:hint="eastAsia" w:ascii="宋体" w:hAnsi="宋体" w:eastAsia="宋体" w:cs="Arial"/>
          <w:color w:val="333333"/>
          <w:spacing w:val="8"/>
          <w:sz w:val="32"/>
          <w:szCs w:val="32"/>
          <w:lang w:val="en-US" w:eastAsia="zh-CN"/>
        </w:rPr>
        <w:t>30.33</w:t>
      </w:r>
      <w:r>
        <w:rPr>
          <w:rFonts w:hint="eastAsia" w:ascii="宋体" w:hAnsi="宋体" w:eastAsia="宋体"/>
          <w:sz w:val="32"/>
          <w:szCs w:val="32"/>
        </w:rPr>
        <w:t>万元，占财政拨款支出</w:t>
      </w:r>
      <w:r>
        <w:rPr>
          <w:rFonts w:hint="eastAsia" w:ascii="宋体" w:hAnsi="宋体" w:eastAsia="宋体" w:cs="Arial"/>
          <w:color w:val="333333"/>
          <w:spacing w:val="8"/>
          <w:sz w:val="32"/>
          <w:szCs w:val="32"/>
          <w:lang w:val="en-US" w:eastAsia="zh-CN"/>
        </w:rPr>
        <w:t>97.11</w:t>
      </w:r>
      <w:r>
        <w:rPr>
          <w:rFonts w:hint="eastAsia" w:ascii="宋体" w:hAnsi="宋体" w:eastAsia="宋体"/>
          <w:sz w:val="32"/>
          <w:szCs w:val="32"/>
        </w:rPr>
        <w:t>%；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社会保障和就业支出0.96</w:t>
      </w:r>
      <w:r>
        <w:rPr>
          <w:rFonts w:hint="eastAsia" w:ascii="宋体" w:hAnsi="宋体" w:eastAsia="宋体"/>
          <w:sz w:val="32"/>
          <w:szCs w:val="32"/>
        </w:rPr>
        <w:t>万元，占财政拨款支出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2.89</w:t>
      </w:r>
      <w:r>
        <w:rPr>
          <w:rFonts w:hint="eastAsia" w:ascii="宋体" w:hAnsi="宋体" w:eastAsia="宋体"/>
          <w:sz w:val="32"/>
          <w:szCs w:val="32"/>
        </w:rPr>
        <w:t>%。具体支出如下表：</w:t>
      </w:r>
    </w:p>
    <w:tbl>
      <w:tblPr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3"/>
        <w:gridCol w:w="686"/>
      </w:tblGrid>
      <w:tr w14:paraId="631A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D4D4D4" w:sz="4" w:space="0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1F1F1"/>
            <w:vAlign w:val="center"/>
          </w:tcPr>
          <w:p w14:paraId="00FD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D4D4D4" w:sz="4" w:space="0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1F1F1"/>
            <w:vAlign w:val="center"/>
          </w:tcPr>
          <w:p w14:paraId="44E9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59E0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1F1F1"/>
            <w:vAlign w:val="center"/>
          </w:tcPr>
          <w:p w14:paraId="126A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4927E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31.30</w:t>
            </w:r>
          </w:p>
        </w:tc>
      </w:tr>
      <w:tr w14:paraId="63E1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6BA6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党史联络工作、史志业务培训、资料经常性采编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4A9F8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9.98</w:t>
            </w:r>
          </w:p>
        </w:tc>
      </w:tr>
      <w:tr w14:paraId="7B2C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1E3A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《常宁年鉴》（2023）征编与印刷、《回忆录》、《中共常灯市党史》（三卷）征编与印刷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67F11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132D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4FF14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水口山工人运动资料汇编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251B2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3.99</w:t>
            </w:r>
          </w:p>
        </w:tc>
      </w:tr>
      <w:tr w14:paraId="554B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5EFB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4DD63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</w:tr>
      <w:tr w14:paraId="5A4A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4DA9A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2021年绩效奖励工资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69E6A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</w:t>
            </w:r>
          </w:p>
        </w:tc>
      </w:tr>
      <w:tr w14:paraId="5FF0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36CD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从社会保障和就业专项资金中安排退休干部待遇补贴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000000" w:fill="FFFFFF"/>
            <w:noWrap/>
            <w:vAlign w:val="center"/>
          </w:tcPr>
          <w:p w14:paraId="2A9EB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</w:tbl>
    <w:p w14:paraId="7D6D7384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0F4328CF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39298FBD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0361CCF7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33612DF3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410C9C">
      <w:pPr>
        <w:pStyle w:val="9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09845E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30ECCB94">
      <w:pPr>
        <w:pStyle w:val="10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552E3C94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47EA4AA1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室始终将主责主业放在首要位置，充分发挥党史部门“以史鉴今、资政育人”职能，充分加大党史宣教力度，积极推进史志编研、评审等工作，取得成效。一是强化党史宣传教育。《党史学习教育工作条例》发布后，我室第一时间组织全体工作人员学习研读，认真贯彻《条例》要求，把党史学习教育同做好中心工作结合起来，引导党员干部树立正确党史观，把学习成果转化为干事创业的强大动力。与衡阳市中共党史学会共同主办“青春之火因信仰而燃烧”第十三期“心社”周末红色文化沙龙。一是有效推进史志编研。《中国共产党常宁历史》（第三卷）编撰工作抓紧进行，以实事求是的原则做好党史三卷修改定稿工作，修改完善补充资料，为公开出版作好准备。《常宁年鉴（2024）》目前已经完成评审并取得书号，预计12月底出版。指导编纂的《古镇白沙》由湖南人民出版社印刷出版，作为我市第一本乡镇地域文化专著，已被列入“湖湘文化丛书”。参与编纂的《天南地北常宁人》如期出版。二是组织专业学习培训。在理论学习中心组集体学习中重点学习《党史学习教育工作条例》《湖南省地方志工作条例》，有效提升思想认识。组织全体人员参加第九届全国年鉴主编培训班，收听收看全国各地专家精品课程，年鉴编纂工作规范化、专业化水平有效提升。三是实施年鉴交流评审。我室坚持年鉴交流评审制度，年内完成《衡阳年鉴（2024）》《祁东年鉴（2024）》《耒阳年鉴（2024）》《衡阳县年鉴（2024）》《衡南年鉴（2024）》《衡山年鉴（2024）》《衡东年鉴（2024）》《石鼓年鉴（2024）》《珠晖区志（2024）》等稿件的评审工作。四是开展史料征集调研。加快推进资料库建设，采取向社会征集、异地志书交流等方式，充实资料库存，年内新增史志书刊近800册。参与水口山镇大渔村红色文化挖掘，组织该村村民就掩埋红军烈士遗骸史实开展座谈，形成调研资料，我室主任秦韶峰撰写的《探寻常宁市水口山镇大渔村的红色记忆》在《湘潮》杂志第十期发表。</w:t>
      </w:r>
      <w:bookmarkStart w:id="1" w:name="_GoBack"/>
      <w:bookmarkEnd w:id="1"/>
    </w:p>
    <w:p w14:paraId="5D225D1E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380968B1">
      <w:pPr>
        <w:pStyle w:val="10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6284BD80">
      <w:pPr>
        <w:pStyle w:val="10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40EB9447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35D3081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2C073812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E8E8F9B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13B46A75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17836AF4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4F12C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1E707ECB"/>
    <w:rsid w:val="250B7CF3"/>
    <w:rsid w:val="44E9041A"/>
    <w:rsid w:val="483D056E"/>
    <w:rsid w:val="4B6E0A3F"/>
    <w:rsid w:val="54D22FBA"/>
    <w:rsid w:val="626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1923</Words>
  <Characters>2197</Characters>
  <Lines>16</Lines>
  <Paragraphs>4</Paragraphs>
  <TotalTime>11</TotalTime>
  <ScaleCrop>false</ScaleCrop>
  <LinksUpToDate>false</LinksUpToDate>
  <CharactersWithSpaces>2221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一凡®</cp:lastModifiedBy>
  <dcterms:modified xsi:type="dcterms:W3CDTF">2025-04-08T09:53:03Z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5030A3EAB2C44FDF867E44CA5ECCC185_12</vt:lpwstr>
  </property>
</Properties>
</file>