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36"/>
          <w:szCs w:val="36"/>
          <w:lang w:val="en-US" w:eastAsia="zh-CN"/>
        </w:rPr>
        <w:t>附件</w:t>
      </w:r>
      <w:r>
        <w:rPr>
          <w:rFonts w:hint="eastAsia" w:ascii="方正小标宋_GBK" w:hAnsi="方正小标宋_GBK" w:eastAsia="方正小标宋_GBK" w:cs="方正小标宋_GBK"/>
          <w:color w:val="auto"/>
          <w:sz w:val="44"/>
          <w:szCs w:val="44"/>
          <w:lang w:val="en-US" w:eastAsia="zh-CN"/>
        </w:rPr>
        <w:t xml:space="preserve">    </w:t>
      </w:r>
    </w:p>
    <w:p>
      <w:pPr>
        <w:pStyle w:val="4"/>
        <w:rPr>
          <w:rFonts w:hint="eastAsia" w:ascii="方正小标宋_GBK" w:hAnsi="方正小标宋_GBK" w:eastAsia="方正小标宋_GBK" w:cs="方正小标宋_GBK"/>
          <w:b w:val="0"/>
          <w:bCs w:val="0"/>
          <w:color w:val="auto"/>
          <w:kern w:val="2"/>
          <w:sz w:val="44"/>
          <w:szCs w:val="44"/>
          <w:lang w:val="en-US" w:eastAsia="zh-CN" w:bidi="ar-SA"/>
        </w:rPr>
      </w:pPr>
      <w:bookmarkStart w:id="5" w:name="_GoBack"/>
      <w:bookmarkEnd w:id="5"/>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2024年度常宁市科技和工业信息化局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整体支出绩效自评报告</w:t>
      </w:r>
    </w:p>
    <w:p>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p>
    <w:p>
      <w:pPr>
        <w:keepNext/>
        <w:keepLines/>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171" w:rightChars="-57" w:firstLine="640" w:firstLineChars="200"/>
        <w:jc w:val="both"/>
        <w:textAlignment w:val="auto"/>
        <w:outlineLvl w:val="0"/>
        <w:rPr>
          <w:rFonts w:hint="default"/>
          <w:lang w:val="en-US" w:eastAsia="zh-CN"/>
        </w:rPr>
      </w:pPr>
      <w:r>
        <w:rPr>
          <w:rFonts w:hint="eastAsia" w:ascii="宋体" w:hAnsi="宋体" w:eastAsia="宋体" w:cs="宋体"/>
          <w:b w:val="0"/>
          <w:bCs w:val="0"/>
          <w:color w:val="auto"/>
          <w:kern w:val="2"/>
          <w:sz w:val="32"/>
          <w:szCs w:val="32"/>
          <w:highlight w:val="none"/>
          <w:lang w:val="en-US" w:eastAsia="zh-CN" w:bidi="ar-SA"/>
        </w:rPr>
        <w:t>为加强财政支出绩效管理，提高财政资金使用效益，根据《湖南省预算支出绩效评价管理办法》（湘财绩〔2020〕7号）、常宁市财政局《关于开展2024年度预算支出绩效自评工作的通知》（常财绩〔2025〕19号）等文件精神，本单位对2024年度部门整体支出进行了绩效自评，现将评价情况报告如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sz w:val="32"/>
          <w:szCs w:val="32"/>
          <w:lang w:val="en-US" w:eastAsia="zh-CN"/>
        </w:rPr>
      </w:pPr>
      <w:r>
        <w:rPr>
          <w:rFonts w:hint="eastAsia"/>
          <w:sz w:val="32"/>
          <w:szCs w:val="32"/>
          <w:lang w:val="en-US" w:eastAsia="zh-CN"/>
        </w:rPr>
        <w:t>一、部门基本情况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（一）机构、人员构成</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sz w:val="32"/>
          <w:szCs w:val="32"/>
          <w:lang w:val="en-US" w:eastAsia="zh-CN"/>
        </w:rPr>
      </w:pPr>
      <w:bookmarkStart w:id="0" w:name="OLE_LINK4"/>
      <w:bookmarkStart w:id="1" w:name="OLE_LINK3"/>
      <w:r>
        <w:rPr>
          <w:rFonts w:hint="eastAsia" w:asciiTheme="minorEastAsia" w:hAnsiTheme="minorEastAsia" w:eastAsiaTheme="minorEastAsia" w:cstheme="minorEastAsia"/>
          <w:b w:val="0"/>
          <w:bCs/>
          <w:sz w:val="32"/>
          <w:szCs w:val="32"/>
          <w:lang w:val="en-US" w:eastAsia="zh-CN"/>
        </w:rPr>
        <w:t>常宁市科技和工业信息化局</w:t>
      </w:r>
      <w:bookmarkEnd w:id="0"/>
      <w:bookmarkStart w:id="2" w:name="OLE_LINK5"/>
      <w:r>
        <w:rPr>
          <w:rFonts w:hint="eastAsia" w:asciiTheme="minorEastAsia" w:hAnsiTheme="minorEastAsia" w:eastAsiaTheme="minorEastAsia" w:cstheme="minorEastAsia"/>
          <w:b w:val="0"/>
          <w:bCs/>
          <w:sz w:val="32"/>
          <w:szCs w:val="32"/>
          <w:lang w:val="en-US" w:eastAsia="zh-CN"/>
        </w:rPr>
        <w:t>是正科级一级预算单位</w:t>
      </w:r>
      <w:bookmarkEnd w:id="2"/>
      <w:r>
        <w:rPr>
          <w:rFonts w:hint="eastAsia" w:asciiTheme="minorEastAsia" w:hAnsiTheme="minorEastAsia" w:eastAsiaTheme="minorEastAsia" w:cstheme="minorEastAsia"/>
          <w:b w:val="0"/>
          <w:bCs/>
          <w:sz w:val="32"/>
          <w:szCs w:val="32"/>
          <w:lang w:val="en-US" w:eastAsia="zh-CN"/>
        </w:rPr>
        <w:t>，主要工作为：</w:t>
      </w:r>
      <w:bookmarkStart w:id="3" w:name="OLE_LINK6"/>
      <w:r>
        <w:rPr>
          <w:rFonts w:hint="eastAsia" w:asciiTheme="minorEastAsia" w:hAnsiTheme="minorEastAsia" w:eastAsiaTheme="minorEastAsia" w:cstheme="minorEastAsia"/>
          <w:b w:val="0"/>
          <w:bCs/>
          <w:sz w:val="32"/>
          <w:szCs w:val="32"/>
          <w:lang w:val="en-US" w:eastAsia="zh-CN"/>
        </w:rPr>
        <w:t>负责全市科技和工业经济的日常运行调节，编制并组织实施近期科技和工业经济运行调控目标、政策和措施；监测、分析全市科技和工业经济运行态势，统计并发布相关信息，进行预测预警和信息引导，协调解决科技和工业经济运行中的突出矛盾和问题。</w:t>
      </w:r>
      <w:bookmarkEnd w:id="3"/>
    </w:p>
    <w:bookmarkEnd w:id="1"/>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color w:val="auto"/>
          <w:kern w:val="0"/>
          <w:sz w:val="32"/>
          <w:szCs w:val="32"/>
          <w:lang w:val="en-US" w:eastAsia="zh-CN" w:bidi="ar"/>
        </w:rPr>
      </w:pPr>
      <w:r>
        <w:rPr>
          <w:rFonts w:hint="eastAsia" w:asciiTheme="minorEastAsia" w:hAnsiTheme="minorEastAsia" w:eastAsiaTheme="minorEastAsia" w:cstheme="minorEastAsia"/>
          <w:b w:val="0"/>
          <w:bCs/>
          <w:color w:val="auto"/>
          <w:kern w:val="0"/>
          <w:sz w:val="32"/>
          <w:szCs w:val="32"/>
          <w:lang w:val="en-US" w:eastAsia="zh-CN" w:bidi="ar"/>
        </w:rPr>
        <w:t>根据编委核定本单位内设股室14个，所属事业单位3个。其中：办公室、经济运行调节股、产业政策与法规股、中小企业股、投资与规划股、节能与综合利用股、工业消费品股、高新技术产业股、农村与社会发展股、信息化综合管理股、财务股、组织人事和教育培训股、信访室、计划成果股。所属事业单位分别是：科技咨询服务中心、节能监察中心、煤炭生产服务中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color w:val="000000" w:themeColor="text1"/>
          <w:kern w:val="0"/>
          <w:sz w:val="32"/>
          <w:szCs w:val="32"/>
          <w:lang w:val="en-US"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32"/>
          <w:szCs w:val="32"/>
          <w:lang w:val="en-US" w:eastAsia="zh-CN" w:bidi="ar"/>
          <w14:textFill>
            <w14:solidFill>
              <w14:schemeClr w14:val="tx1"/>
            </w14:solidFill>
          </w14:textFill>
        </w:rPr>
        <w:t>本部门编制数48人,在职人数62人，其中:在岗人数62人；离退休人数129人，其中离休人员0人，退休人员129人。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b w:val="0"/>
          <w:bCs/>
          <w:sz w:val="32"/>
          <w:szCs w:val="32"/>
          <w:lang w:val="en-US" w:eastAsia="zh-CN"/>
        </w:rPr>
      </w:pPr>
      <w:r>
        <w:rPr>
          <w:rFonts w:hint="eastAsia"/>
          <w:b w:val="0"/>
          <w:bCs/>
          <w:sz w:val="32"/>
          <w:szCs w:val="32"/>
          <w:lang w:val="en-US" w:eastAsia="zh-CN"/>
        </w:rPr>
        <w:t>（二）单位主要职能职责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color w:val="auto"/>
          <w:kern w:val="0"/>
          <w:sz w:val="32"/>
          <w:szCs w:val="32"/>
          <w:lang w:val="en-US" w:eastAsia="zh-CN" w:bidi="ar"/>
        </w:rPr>
      </w:pPr>
      <w:r>
        <w:rPr>
          <w:rFonts w:hint="eastAsia" w:asciiTheme="minorEastAsia" w:hAnsiTheme="minorEastAsia" w:eastAsiaTheme="minorEastAsia" w:cstheme="minorEastAsia"/>
          <w:b w:val="0"/>
          <w:bCs/>
          <w:color w:val="auto"/>
          <w:kern w:val="0"/>
          <w:sz w:val="32"/>
          <w:szCs w:val="32"/>
          <w:lang w:val="en-US" w:eastAsia="zh-CN" w:bidi="ar"/>
        </w:rPr>
        <w:t>1、负责全市科技和工业经济的日常运行调节，编制并组织实施近期科技和工业经济运行调控目标、政策和措施；监测、分析全市科技和工业经济运行态势，统计并发布相关信息，进行预测预警和信息引导，协调解决科技和工业经济运行中的突出矛盾和问题，并提出政策建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color w:val="auto"/>
          <w:kern w:val="0"/>
          <w:sz w:val="32"/>
          <w:szCs w:val="32"/>
          <w:lang w:val="en-US" w:eastAsia="zh-CN" w:bidi="ar"/>
        </w:rPr>
      </w:pPr>
      <w:r>
        <w:rPr>
          <w:rFonts w:hint="eastAsia" w:asciiTheme="minorEastAsia" w:hAnsiTheme="minorEastAsia" w:eastAsiaTheme="minorEastAsia" w:cstheme="minorEastAsia"/>
          <w:b w:val="0"/>
          <w:bCs/>
          <w:color w:val="auto"/>
          <w:kern w:val="0"/>
          <w:sz w:val="32"/>
          <w:szCs w:val="32"/>
          <w:lang w:val="en-US" w:eastAsia="zh-CN" w:bidi="ar"/>
        </w:rPr>
        <w:t>2、拟订全市新型工业化的高质量发展、制定十四个五年规划并组织实施，协调解决有关重大问题；综合管理全市科技和工业经济，指导、协调和服务工业企业；推进信息化数字经济和工业化融合；负责拟订并组织实施科技、工业、信息化的发展专项规划，负责全市科技进步的宏观管理和统筹协调，贯彻国家、省科技发展宏观战略和科技促进经济与社会发展的方针、政策、法规；牵头拟定全市科技发展规划，确定全市科技发展的战略布局和优先发展领域；拟定有关科技发展的政策建议，并监督实施；参与对经济社会发展有重大影响的跨部门、多学科的综合性项目的论证与决策。</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color w:val="auto"/>
          <w:kern w:val="0"/>
          <w:sz w:val="32"/>
          <w:szCs w:val="32"/>
          <w:lang w:val="en-US" w:eastAsia="zh-CN" w:bidi="ar"/>
        </w:rPr>
      </w:pPr>
      <w:r>
        <w:rPr>
          <w:rFonts w:hint="eastAsia" w:asciiTheme="minorEastAsia" w:hAnsiTheme="minorEastAsia" w:eastAsiaTheme="minorEastAsia" w:cstheme="minorEastAsia"/>
          <w:b w:val="0"/>
          <w:bCs/>
          <w:color w:val="auto"/>
          <w:kern w:val="0"/>
          <w:sz w:val="32"/>
          <w:szCs w:val="32"/>
          <w:lang w:val="en-US" w:eastAsia="zh-CN" w:bidi="ar"/>
        </w:rPr>
        <w:t>3、贯彻落实国家产业政策；拟订优化产业结构和产品结构的地方配套政策，并监督检查执行情况；研究和规划全市工业产业投资布局；指导全市工业产业优化升级；依法组织实施相关行业的准入管理；负责组织实施市级科技计划工作和相关计划项目申报、推荐和管理；牵头组织全市经济社会发展重要领域的重大关键技术攻关，会同有关部门拟订促进产学研结合相关政策；组织重大科技成果应用示范，加强科技成果转化和推广，推动企业技术创新能力建设；负责起草科技、工业和信息化领域的规范性文件草案并对相关法律法规的执法情况进行监督检查；协调减轻企业负担工作；会同有关部门做好全市维护企业稳工复产。</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color w:val="auto"/>
          <w:kern w:val="0"/>
          <w:sz w:val="32"/>
          <w:szCs w:val="32"/>
          <w:lang w:val="en-US" w:eastAsia="zh-CN" w:bidi="ar"/>
        </w:rPr>
      </w:pPr>
      <w:r>
        <w:rPr>
          <w:rFonts w:hint="eastAsia" w:asciiTheme="minorEastAsia" w:hAnsiTheme="minorEastAsia" w:eastAsiaTheme="minorEastAsia" w:cstheme="minorEastAsia"/>
          <w:b w:val="0"/>
          <w:bCs/>
          <w:color w:val="auto"/>
          <w:kern w:val="0"/>
          <w:sz w:val="32"/>
          <w:szCs w:val="32"/>
          <w:lang w:val="en-US" w:eastAsia="zh-CN" w:bidi="ar"/>
        </w:rPr>
        <w:t>4、负责全市高新技术的研究开发、成果转化以及产业化工作，会同有关部门拟订高新技术发展及产业化的规划和政策，负责组织高新技术企业（项目）认定的申报、推荐，指导并推动高新技术企业创新发展；拟定促进技术市场、科技中介组织发展政策，负责全市技术市场体系建设和管理，促进科技服务体系发展，发展依靠科技先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color w:val="auto"/>
          <w:kern w:val="0"/>
          <w:sz w:val="32"/>
          <w:szCs w:val="32"/>
          <w:lang w:val="en-US" w:eastAsia="zh-CN" w:bidi="ar"/>
        </w:rPr>
      </w:pPr>
      <w:r>
        <w:rPr>
          <w:rFonts w:hint="eastAsia" w:asciiTheme="minorEastAsia" w:hAnsiTheme="minorEastAsia" w:eastAsiaTheme="minorEastAsia" w:cstheme="minorEastAsia"/>
          <w:b w:val="0"/>
          <w:bCs/>
          <w:color w:val="auto"/>
          <w:kern w:val="0"/>
          <w:sz w:val="32"/>
          <w:szCs w:val="32"/>
          <w:lang w:val="en-US" w:eastAsia="zh-CN" w:bidi="ar"/>
        </w:rPr>
        <w:t>5、研究提出多渠道增加科技投入的措施，优化科技资源；会同有关部门提出科技资源合理配置的政策建议，推动科技资源共建共享，负责本部门及归口管理的市级科技经费预、决算和经费使用的监督管理；负责全市科技人才工作，会同有关部门拟订科技人才队伍建设规划。</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color w:val="auto"/>
          <w:kern w:val="0"/>
          <w:sz w:val="32"/>
          <w:szCs w:val="32"/>
          <w:lang w:val="en-US" w:eastAsia="zh-CN" w:bidi="ar"/>
        </w:rPr>
      </w:pPr>
      <w:r>
        <w:rPr>
          <w:rFonts w:hint="eastAsia" w:asciiTheme="minorEastAsia" w:hAnsiTheme="minorEastAsia" w:eastAsiaTheme="minorEastAsia" w:cstheme="minorEastAsia"/>
          <w:b w:val="0"/>
          <w:bCs/>
          <w:color w:val="auto"/>
          <w:kern w:val="0"/>
          <w:sz w:val="32"/>
          <w:szCs w:val="32"/>
          <w:lang w:val="en-US" w:eastAsia="zh-CN" w:bidi="ar"/>
        </w:rPr>
        <w:t>6、牵头组织全市农村和社会发展领域的科技进步工作，组织拟订科技促进农村和社会发展的规划和政策，组织引导农业和社会发展领域的关键技术攻关和成果示范，促进以改善民生为重点的农村建设和社会建设。</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color w:val="auto"/>
          <w:kern w:val="0"/>
          <w:sz w:val="32"/>
          <w:szCs w:val="32"/>
          <w:lang w:val="en-US" w:eastAsia="zh-CN" w:bidi="ar"/>
        </w:rPr>
      </w:pPr>
      <w:r>
        <w:rPr>
          <w:rFonts w:hint="eastAsia" w:asciiTheme="minorEastAsia" w:hAnsiTheme="minorEastAsia" w:eastAsiaTheme="minorEastAsia" w:cstheme="minorEastAsia"/>
          <w:b w:val="0"/>
          <w:bCs/>
          <w:color w:val="auto"/>
          <w:kern w:val="0"/>
          <w:sz w:val="32"/>
          <w:szCs w:val="32"/>
          <w:lang w:val="en-US" w:eastAsia="zh-CN" w:bidi="ar"/>
        </w:rPr>
        <w:t>7、研究拟订促进全市中小企业发展的政策措施，协调解决重大问题；拟订中小企业发展战略、中长期发展规划并组织实施；指导中小企业改革工作；管理全市中小企业专项发展基金；推进中小企业服务体系和信用担保体系建设；拟订政府重点扶持中小企业的项目及资金投入方向，扶持中小企业的发展；推进全民创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color w:val="auto"/>
          <w:kern w:val="0"/>
          <w:sz w:val="32"/>
          <w:szCs w:val="32"/>
          <w:lang w:val="en-US" w:eastAsia="zh-CN" w:bidi="ar"/>
        </w:rPr>
      </w:pPr>
      <w:r>
        <w:rPr>
          <w:rFonts w:hint="eastAsia" w:asciiTheme="minorEastAsia" w:hAnsiTheme="minorEastAsia" w:eastAsiaTheme="minorEastAsia" w:cstheme="minorEastAsia"/>
          <w:b w:val="0"/>
          <w:bCs/>
          <w:color w:val="auto"/>
          <w:kern w:val="0"/>
          <w:sz w:val="32"/>
          <w:szCs w:val="32"/>
          <w:lang w:val="en-US" w:eastAsia="zh-CN" w:bidi="ar"/>
        </w:rPr>
        <w:t>8、负责协调全市工业节能降耗工作，制定工业和信息化领域循环经济发展规划并组织实施；负责全市节能监察工作，协调环保产业发展和工业环境保护。</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color w:val="auto"/>
          <w:kern w:val="0"/>
          <w:sz w:val="32"/>
          <w:szCs w:val="32"/>
          <w:lang w:val="en-US" w:eastAsia="zh-CN" w:bidi="ar"/>
        </w:rPr>
      </w:pPr>
      <w:r>
        <w:rPr>
          <w:rFonts w:hint="eastAsia" w:asciiTheme="minorEastAsia" w:hAnsiTheme="minorEastAsia" w:eastAsiaTheme="minorEastAsia" w:cstheme="minorEastAsia"/>
          <w:b w:val="0"/>
          <w:bCs/>
          <w:color w:val="auto"/>
          <w:kern w:val="0"/>
          <w:sz w:val="32"/>
          <w:szCs w:val="32"/>
          <w:lang w:val="en-US" w:eastAsia="zh-CN" w:bidi="ar"/>
        </w:rPr>
        <w:t>9、综合协调经济运行中与铁路、公路、水运、航空、管道运输以及通信、邮政有关的重大问题；负责铁路专用线的管理工作；负责煤炭、电力、石油、天然气和原材料等经济运行保障要素的综合协调工作；负责电力行业管理及行政执法工作；保障用电供需平稳，指导生产企业物流外包，促进企业内部物流社会化。</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color w:val="auto"/>
          <w:kern w:val="0"/>
          <w:sz w:val="32"/>
          <w:szCs w:val="32"/>
          <w:lang w:val="en-US" w:eastAsia="zh-CN" w:bidi="ar"/>
        </w:rPr>
      </w:pPr>
      <w:r>
        <w:rPr>
          <w:rFonts w:hint="eastAsia" w:asciiTheme="minorEastAsia" w:hAnsiTheme="minorEastAsia" w:eastAsiaTheme="minorEastAsia" w:cstheme="minorEastAsia"/>
          <w:b w:val="0"/>
          <w:bCs/>
          <w:color w:val="auto"/>
          <w:kern w:val="0"/>
          <w:sz w:val="32"/>
          <w:szCs w:val="32"/>
          <w:lang w:val="en-US" w:eastAsia="zh-CN" w:bidi="ar"/>
        </w:rPr>
        <w:t>10、拟订全市信息安全发展战略、规划，指导、协调信息安全保障体系建设；指导监督政府部门、重点行业重要信息系统与基础信息网络的安全保障工作，协调处理网络与信息安全的重大事件；协调全市公用通信网、互联网、广播电视网和其他专用通信网的规划与建设，促进网络资源共享；推动跨行业、跨部门的互联互通和重要信息资源的开发利用、共享；实行5G网络全覆盖，统筹推进全市信息化建设；负责推动软件业和信息服务业的发展；组织拟订软件业和信息服务业发展战略、专项规划及相关政策，协调解决重大问题，推动软件公共服务体系建设，推进软件服务外包；指导、协调相关技术开发和产业发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color w:val="auto"/>
          <w:kern w:val="0"/>
          <w:sz w:val="32"/>
          <w:szCs w:val="32"/>
          <w:lang w:val="en-US" w:eastAsia="zh-CN" w:bidi="ar"/>
        </w:rPr>
      </w:pPr>
      <w:r>
        <w:rPr>
          <w:rFonts w:hint="eastAsia" w:asciiTheme="minorEastAsia" w:hAnsiTheme="minorEastAsia" w:eastAsiaTheme="minorEastAsia" w:cstheme="minorEastAsia"/>
          <w:b w:val="0"/>
          <w:bCs/>
          <w:color w:val="auto"/>
          <w:kern w:val="0"/>
          <w:sz w:val="32"/>
          <w:szCs w:val="32"/>
          <w:lang w:val="en-US" w:eastAsia="zh-CN" w:bidi="ar"/>
        </w:rPr>
        <w:t>11、负责全市工业和信息化领域招商引资工作，研究拟订工业和信息化领域招商政策，协调项目开工、建设等工作。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color w:val="auto"/>
          <w:kern w:val="0"/>
          <w:sz w:val="32"/>
          <w:szCs w:val="32"/>
          <w:lang w:val="en-US" w:eastAsia="zh-CN" w:bidi="ar"/>
        </w:rPr>
      </w:pPr>
      <w:r>
        <w:rPr>
          <w:rFonts w:hint="eastAsia" w:asciiTheme="minorEastAsia" w:hAnsiTheme="minorEastAsia" w:eastAsiaTheme="minorEastAsia" w:cstheme="minorEastAsia"/>
          <w:b w:val="0"/>
          <w:bCs/>
          <w:color w:val="auto"/>
          <w:kern w:val="0"/>
          <w:sz w:val="32"/>
          <w:szCs w:val="32"/>
          <w:lang w:val="en-US" w:eastAsia="zh-CN" w:bidi="ar"/>
        </w:rPr>
        <w:t>12、负责对属于本局直管的行业和领域范围内安全生产工作实施监督管理。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asciiTheme="minorEastAsia" w:hAnsiTheme="minorEastAsia" w:eastAsiaTheme="minorEastAsia" w:cstheme="minorEastAsia"/>
          <w:b w:val="0"/>
          <w:bCs/>
          <w:color w:val="auto"/>
          <w:kern w:val="0"/>
          <w:sz w:val="32"/>
          <w:szCs w:val="32"/>
          <w:lang w:val="en-US" w:eastAsia="zh-CN" w:bidi="ar"/>
        </w:rPr>
      </w:pPr>
      <w:r>
        <w:rPr>
          <w:rFonts w:hint="eastAsia" w:asciiTheme="minorEastAsia" w:hAnsiTheme="minorEastAsia" w:eastAsiaTheme="minorEastAsia" w:cstheme="minorEastAsia"/>
          <w:b w:val="0"/>
          <w:bCs/>
          <w:color w:val="auto"/>
          <w:kern w:val="0"/>
          <w:sz w:val="32"/>
          <w:szCs w:val="32"/>
          <w:lang w:val="en-US" w:eastAsia="zh-CN" w:bidi="ar"/>
        </w:rPr>
        <w:t>13、负责联系市烟草专卖局、中国邮政集团公司湖南省常宁分公司、湖南盐业股份有限公司常宁市分公司、中国移动分公司、中国电信常宁分公司、中国联通常宁分公司等单位。</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71" w:rightChars="-57" w:firstLine="640" w:firstLineChars="200"/>
        <w:textAlignment w:val="auto"/>
        <w:rPr>
          <w:rFonts w:hint="eastAsia"/>
          <w:sz w:val="32"/>
          <w:szCs w:val="32"/>
          <w:lang w:val="en-US" w:eastAsia="zh-CN"/>
        </w:rPr>
      </w:pPr>
      <w:r>
        <w:rPr>
          <w:rFonts w:hint="eastAsia" w:asciiTheme="minorEastAsia" w:hAnsiTheme="minorEastAsia" w:eastAsiaTheme="minorEastAsia" w:cstheme="minorEastAsia"/>
          <w:b w:val="0"/>
          <w:bCs/>
          <w:color w:val="auto"/>
          <w:kern w:val="0"/>
          <w:sz w:val="32"/>
          <w:szCs w:val="32"/>
          <w:lang w:val="en-US" w:eastAsia="zh-CN" w:bidi="ar"/>
        </w:rPr>
        <w:t>14、完成市委、市人民政府和上级主管部门交办的各项考核指标任务及其他事项。</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sz w:val="32"/>
          <w:szCs w:val="32"/>
          <w:lang w:val="en-US" w:eastAsia="zh-CN"/>
        </w:rPr>
      </w:pPr>
      <w:r>
        <w:rPr>
          <w:rFonts w:hint="eastAsia"/>
          <w:sz w:val="32"/>
          <w:szCs w:val="32"/>
          <w:lang w:val="en-US" w:eastAsia="zh-CN"/>
        </w:rPr>
        <w:t>二、</w:t>
      </w:r>
      <w:r>
        <w:rPr>
          <w:rFonts w:hint="default"/>
          <w:sz w:val="32"/>
          <w:szCs w:val="32"/>
          <w:lang w:val="en-US" w:eastAsia="zh-CN"/>
        </w:rPr>
        <w:t>一般公共预算支出情况</w:t>
      </w:r>
    </w:p>
    <w:p>
      <w:pPr>
        <w:pStyle w:val="5"/>
        <w:ind w:left="0" w:leftChars="0" w:firstLine="640" w:firstLineChars="200"/>
        <w:rPr>
          <w:rFonts w:hint="eastAsia" w:ascii="宋体" w:hAnsi="宋体" w:eastAsia="宋体" w:cs="宋体"/>
          <w:b w:val="0"/>
          <w:bCs/>
          <w:kern w:val="0"/>
          <w:sz w:val="32"/>
          <w:szCs w:val="32"/>
          <w:lang w:val="en-US" w:eastAsia="zh-CN" w:bidi="ar"/>
        </w:rPr>
      </w:pPr>
      <w:r>
        <w:rPr>
          <w:rFonts w:hint="eastAsia" w:ascii="宋体" w:hAnsi="宋体" w:eastAsia="宋体" w:cs="宋体"/>
          <w:b w:val="0"/>
          <w:bCs/>
          <w:kern w:val="0"/>
          <w:sz w:val="32"/>
          <w:szCs w:val="32"/>
          <w:lang w:val="en-US" w:eastAsia="zh-CN" w:bidi="ar"/>
        </w:rPr>
        <w:t>2024年常宁市科技和工业信息化局一般公共预算收入、支出均为7174.02万元。</w:t>
      </w:r>
    </w:p>
    <w:p>
      <w:pPr>
        <w:pStyle w:val="5"/>
        <w:ind w:left="0" w:leftChars="0" w:firstLine="640" w:firstLineChars="200"/>
        <w:rPr>
          <w:rFonts w:hint="eastAsia" w:ascii="宋体" w:hAnsi="宋体" w:eastAsia="宋体" w:cs="宋体"/>
          <w:b w:val="0"/>
          <w:bCs/>
          <w:kern w:val="0"/>
          <w:sz w:val="32"/>
          <w:szCs w:val="32"/>
          <w:lang w:val="en-US" w:eastAsia="zh-CN" w:bidi="ar"/>
        </w:rPr>
      </w:pPr>
      <w:r>
        <w:rPr>
          <w:rFonts w:hint="eastAsia" w:ascii="宋体" w:hAnsi="宋体" w:eastAsia="宋体" w:cs="宋体"/>
          <w:b w:val="0"/>
          <w:bCs/>
          <w:kern w:val="0"/>
          <w:sz w:val="32"/>
          <w:szCs w:val="32"/>
          <w:lang w:val="en-US" w:eastAsia="zh-CN" w:bidi="ar"/>
        </w:rPr>
        <w:t>（一）基本支出情况</w:t>
      </w:r>
    </w:p>
    <w:p>
      <w:pPr>
        <w:pStyle w:val="5"/>
        <w:ind w:left="0" w:leftChars="0" w:firstLine="640" w:firstLineChars="200"/>
        <w:rPr>
          <w:rFonts w:hint="eastAsia" w:ascii="宋体" w:hAnsi="宋体" w:eastAsia="宋体" w:cs="宋体"/>
          <w:b w:val="0"/>
          <w:bCs/>
          <w:kern w:val="0"/>
          <w:sz w:val="32"/>
          <w:szCs w:val="32"/>
          <w:lang w:val="en-US" w:eastAsia="zh-CN" w:bidi="ar"/>
        </w:rPr>
      </w:pPr>
      <w:r>
        <w:rPr>
          <w:rFonts w:hint="eastAsia" w:ascii="宋体" w:hAnsi="宋体" w:eastAsia="宋体" w:cs="宋体"/>
          <w:b w:val="0"/>
          <w:bCs/>
          <w:kern w:val="0"/>
          <w:sz w:val="32"/>
          <w:szCs w:val="32"/>
          <w:lang w:val="en-US" w:eastAsia="zh-CN" w:bidi="ar"/>
        </w:rPr>
        <w:t>2024年基本支出为796.58万元，其中人员经费689.81万元，公用经费106.77万元，比2023年</w:t>
      </w:r>
      <w:bookmarkStart w:id="4" w:name="OLE_LINK2"/>
      <w:r>
        <w:rPr>
          <w:rFonts w:hint="eastAsia" w:ascii="宋体" w:hAnsi="宋体" w:eastAsia="宋体" w:cs="宋体"/>
          <w:b w:val="0"/>
          <w:bCs/>
          <w:kern w:val="0"/>
          <w:sz w:val="32"/>
          <w:szCs w:val="32"/>
          <w:lang w:val="en-US" w:eastAsia="zh-CN" w:bidi="ar"/>
        </w:rPr>
        <w:t>减少</w:t>
      </w:r>
      <w:bookmarkEnd w:id="4"/>
      <w:r>
        <w:rPr>
          <w:rFonts w:hint="eastAsia" w:ascii="宋体" w:hAnsi="宋体" w:eastAsia="宋体" w:cs="宋体"/>
          <w:b w:val="0"/>
          <w:bCs/>
          <w:kern w:val="0"/>
          <w:sz w:val="32"/>
          <w:szCs w:val="32"/>
          <w:lang w:val="en-US" w:eastAsia="zh-CN" w:bidi="ar"/>
        </w:rPr>
        <w:t>65.47万元，减少7.59%，变化主要原因：人员变动。</w:t>
      </w:r>
    </w:p>
    <w:p>
      <w:pPr>
        <w:pStyle w:val="5"/>
        <w:ind w:left="0" w:leftChars="0" w:firstLine="640" w:firstLineChars="200"/>
        <w:rPr>
          <w:rFonts w:hint="eastAsia" w:ascii="宋体" w:hAnsi="宋体" w:eastAsia="宋体" w:cs="宋体"/>
          <w:b w:val="0"/>
          <w:bCs/>
          <w:kern w:val="0"/>
          <w:sz w:val="32"/>
          <w:szCs w:val="32"/>
          <w:lang w:val="en-US" w:eastAsia="zh-CN" w:bidi="ar"/>
        </w:rPr>
      </w:pPr>
      <w:r>
        <w:rPr>
          <w:rFonts w:hint="eastAsia" w:ascii="宋体" w:hAnsi="宋体" w:eastAsia="宋体" w:cs="宋体"/>
          <w:b w:val="0"/>
          <w:bCs/>
          <w:kern w:val="0"/>
          <w:sz w:val="32"/>
          <w:szCs w:val="32"/>
          <w:lang w:val="en-US" w:eastAsia="zh-CN" w:bidi="ar"/>
        </w:rPr>
        <w:t>（二）项目支出情况</w:t>
      </w:r>
    </w:p>
    <w:p>
      <w:pPr>
        <w:pStyle w:val="5"/>
        <w:ind w:left="0" w:leftChars="0" w:firstLine="640" w:firstLineChars="200"/>
        <w:rPr>
          <w:rFonts w:hint="eastAsia" w:ascii="宋体" w:hAnsi="宋体" w:eastAsia="宋体" w:cs="宋体"/>
          <w:b w:val="0"/>
          <w:bCs/>
          <w:kern w:val="0"/>
          <w:sz w:val="32"/>
          <w:szCs w:val="32"/>
          <w:lang w:val="en-US" w:eastAsia="zh-CN" w:bidi="ar"/>
        </w:rPr>
      </w:pPr>
      <w:r>
        <w:rPr>
          <w:rFonts w:hint="eastAsia" w:ascii="宋体" w:hAnsi="宋体" w:eastAsia="宋体" w:cs="宋体"/>
          <w:b w:val="0"/>
          <w:bCs/>
          <w:kern w:val="0"/>
          <w:sz w:val="32"/>
          <w:szCs w:val="32"/>
          <w:lang w:val="en-US" w:eastAsia="zh-CN" w:bidi="ar"/>
        </w:rPr>
        <w:t>2024年项目支出为6377.44万元，与2023年相比增加1133.55万元，增长17.74%，</w:t>
      </w:r>
      <w:r>
        <w:rPr>
          <w:rFonts w:hint="eastAsia" w:ascii="宋体" w:hAnsi="宋体" w:eastAsia="宋体" w:cs="宋体"/>
          <w:b w:val="0"/>
          <w:bCs/>
          <w:kern w:val="0"/>
          <w:sz w:val="32"/>
          <w:szCs w:val="32"/>
          <w:highlight w:val="none"/>
          <w:lang w:val="en-US" w:eastAsia="zh-CN" w:bidi="ar"/>
        </w:rPr>
        <w:t>变化的主要原因：项目经费增加。</w:t>
      </w:r>
    </w:p>
    <w:p>
      <w:pPr>
        <w:pStyle w:val="5"/>
        <w:ind w:left="0" w:leftChars="0" w:firstLine="640" w:firstLineChars="200"/>
        <w:rPr>
          <w:rFonts w:hint="eastAsia" w:ascii="宋体" w:hAnsi="宋体" w:eastAsia="宋体" w:cs="宋体"/>
          <w:b w:val="0"/>
          <w:bCs/>
          <w:kern w:val="0"/>
          <w:sz w:val="32"/>
          <w:szCs w:val="32"/>
          <w:highlight w:val="red"/>
          <w:lang w:val="en-US" w:eastAsia="zh-CN" w:bidi="ar"/>
        </w:rPr>
      </w:pPr>
      <w:r>
        <w:rPr>
          <w:rFonts w:hint="eastAsia" w:ascii="宋体" w:hAnsi="宋体" w:eastAsia="宋体" w:cs="宋体"/>
          <w:b w:val="0"/>
          <w:bCs/>
          <w:kern w:val="0"/>
          <w:sz w:val="32"/>
          <w:szCs w:val="32"/>
          <w:lang w:val="en-US" w:eastAsia="zh-CN" w:bidi="ar"/>
        </w:rPr>
        <w:t>2024年项目支出主要为高新技术企业奖励资金258.6万元，科技创新计划项目经费318.6万元、企业研发财政奖补519.74万元、税收增量奖补资金388.61万元、先进制造业高地建设经费2192.56万元、中小企业事务经费120万元、五矿铜业政策扶助资金1114万元、沿江化工企业搬迁改造专项补助资金555.54万元、湖南省军民融合产业发展专项资金100万元、及其他项目支出809.79万元。</w:t>
      </w:r>
    </w:p>
    <w:p>
      <w:pPr>
        <w:pStyle w:val="5"/>
        <w:ind w:left="0" w:leftChars="0" w:firstLine="640" w:firstLineChars="200"/>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我单位制定了预算资金管理办法，资金使用规范，符合国家财经法规和财务管理以及专项资金管理办法的相关规定，不存在超标准开支情况和截留、挤占、挪用项目资金情况。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sz w:val="32"/>
          <w:szCs w:val="32"/>
          <w:lang w:val="en-US" w:eastAsia="zh-CN"/>
        </w:rPr>
      </w:pPr>
      <w:r>
        <w:rPr>
          <w:rFonts w:hint="default"/>
          <w:sz w:val="32"/>
          <w:szCs w:val="32"/>
          <w:lang w:val="en-US" w:eastAsia="zh-CN"/>
        </w:rPr>
        <w:t>三、政府性基金预算支出情况</w:t>
      </w:r>
    </w:p>
    <w:p>
      <w:pPr>
        <w:pStyle w:val="5"/>
        <w:ind w:left="0" w:leftChars="0" w:firstLine="640" w:firstLineChars="200"/>
        <w:rPr>
          <w:rFonts w:hint="default" w:ascii="宋体" w:hAnsi="宋体" w:eastAsia="宋体" w:cs="宋体"/>
          <w:b w:val="0"/>
          <w:bCs/>
          <w:kern w:val="0"/>
          <w:sz w:val="32"/>
          <w:szCs w:val="32"/>
          <w:highlight w:val="none"/>
          <w:lang w:val="en-US" w:eastAsia="zh-CN" w:bidi="ar"/>
        </w:rPr>
      </w:pPr>
      <w:r>
        <w:rPr>
          <w:rFonts w:hint="default" w:ascii="宋体" w:hAnsi="宋体" w:eastAsia="宋体" w:cs="宋体"/>
          <w:b w:val="0"/>
          <w:bCs/>
          <w:kern w:val="0"/>
          <w:sz w:val="32"/>
          <w:szCs w:val="32"/>
          <w:highlight w:val="none"/>
          <w:lang w:val="en-US" w:eastAsia="zh-CN" w:bidi="ar"/>
        </w:rPr>
        <w:t>无</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sz w:val="32"/>
          <w:szCs w:val="32"/>
          <w:lang w:val="en-US" w:eastAsia="zh-CN"/>
        </w:rPr>
      </w:pPr>
      <w:r>
        <w:rPr>
          <w:rFonts w:hint="default"/>
          <w:sz w:val="32"/>
          <w:szCs w:val="32"/>
          <w:lang w:val="en-US" w:eastAsia="zh-CN"/>
        </w:rPr>
        <w:t>四、国有资本经营预算支出情况</w:t>
      </w:r>
    </w:p>
    <w:p>
      <w:pPr>
        <w:pStyle w:val="5"/>
        <w:ind w:left="0" w:leftChars="0" w:firstLine="640" w:firstLineChars="200"/>
        <w:rPr>
          <w:rFonts w:hint="default" w:ascii="宋体" w:hAnsi="宋体" w:eastAsia="宋体" w:cs="宋体"/>
          <w:b w:val="0"/>
          <w:bCs/>
          <w:kern w:val="0"/>
          <w:sz w:val="32"/>
          <w:szCs w:val="32"/>
          <w:highlight w:val="none"/>
          <w:lang w:val="en-US" w:eastAsia="zh-CN" w:bidi="ar"/>
        </w:rPr>
      </w:pPr>
      <w:r>
        <w:rPr>
          <w:rFonts w:hint="default" w:ascii="宋体" w:hAnsi="宋体" w:eastAsia="宋体" w:cs="宋体"/>
          <w:b w:val="0"/>
          <w:bCs/>
          <w:kern w:val="0"/>
          <w:sz w:val="32"/>
          <w:szCs w:val="32"/>
          <w:highlight w:val="none"/>
          <w:lang w:val="en-US" w:eastAsia="zh-CN" w:bidi="ar"/>
        </w:rPr>
        <w:t>无</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sz w:val="32"/>
          <w:szCs w:val="32"/>
          <w:lang w:val="en-US" w:eastAsia="zh-CN"/>
        </w:rPr>
      </w:pPr>
      <w:r>
        <w:rPr>
          <w:rFonts w:hint="default"/>
          <w:sz w:val="32"/>
          <w:szCs w:val="32"/>
          <w:lang w:val="en-US" w:eastAsia="zh-CN"/>
        </w:rPr>
        <w:t>五、社会保险基金预算支出情况</w:t>
      </w:r>
    </w:p>
    <w:p>
      <w:pPr>
        <w:pStyle w:val="5"/>
        <w:ind w:left="0" w:leftChars="0" w:firstLine="640" w:firstLineChars="200"/>
        <w:rPr>
          <w:rFonts w:hint="default" w:ascii="宋体" w:hAnsi="宋体" w:eastAsia="宋体" w:cs="宋体"/>
          <w:b w:val="0"/>
          <w:bCs/>
          <w:kern w:val="0"/>
          <w:sz w:val="32"/>
          <w:szCs w:val="32"/>
          <w:highlight w:val="none"/>
          <w:lang w:val="en-US" w:eastAsia="zh-CN" w:bidi="ar"/>
        </w:rPr>
      </w:pPr>
      <w:r>
        <w:rPr>
          <w:rFonts w:hint="default" w:ascii="宋体" w:hAnsi="宋体" w:eastAsia="宋体" w:cs="宋体"/>
          <w:b w:val="0"/>
          <w:bCs/>
          <w:kern w:val="0"/>
          <w:sz w:val="32"/>
          <w:szCs w:val="32"/>
          <w:highlight w:val="none"/>
          <w:lang w:val="en-US" w:eastAsia="zh-CN" w:bidi="ar"/>
        </w:rPr>
        <w:t>无</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sz w:val="32"/>
          <w:szCs w:val="32"/>
          <w:lang w:val="en-US" w:eastAsia="zh-CN"/>
        </w:rPr>
      </w:pPr>
      <w:r>
        <w:rPr>
          <w:rFonts w:hint="default"/>
          <w:sz w:val="32"/>
          <w:szCs w:val="32"/>
          <w:lang w:val="en-US" w:eastAsia="zh-CN"/>
        </w:rPr>
        <w:t>六、部门整体支出绩效情况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2024年，在市委、市政府的正确领导下，我们锚定“三高四新”美好蓝图，深入践行衡阳“制造立市、文旅兴城”发展战略，围绕“产业赋能、生态引领、全域融合”发展战略，紧盯“全省经济十强”的奋斗目标，勠力同心，奋力拼搏，加速推进常宁工业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一、2024年主要工作完成情况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1、经济发展向上向好。我市努力克服因环保督查、央企检修、化工园区复核、统计口径变化、政策影响等不利因素，大力推进“原地倍增”项目市领导“一对一”帮扶、五矿铜业百亿企业创建等举措全年工业总产值403.3亿元，高出衡阳市第二位近一倍，同比增速5.92%，虽然高于2023年4.8%的产值增速，但由于受行业增加值系数下调和价格指数上扬的影响，增加值增速不理想。工业上缴税收合计96877亿元，工业用电量27.9亿千瓦时，同比增长2.2%；工业投资105.45万元，同比增速28.6%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2、企业培育做优做强。培育省专精特新企业2家，规上工业企业12家。德邦生物进入国家专精特新重点“小巨人”企业（全省43家）和获评省消费品“三品”标杆企业（全省16家），株冶有色为衡阳市唯一获评的湖南省智能制造标杆企业（全省14家）和省工业碳减排标杆企业（全省共7家），水口山有色为全省10家“5G+工业互联网”标杆工厂之一。培育省新材料企业3家（占衡阳3/7），省专家工作站实现破零。此外，培育原材料“三品”标杆企业1家、国家级绿色工厂1家、省绿色工厂2家、省单冠企业1家、省企业技术中心1家等，培育企业的质量和品牌个数，均居衡阳前列。常宁市1-11月累计上云588家，上平台293家（任务数：上云560家，上平台120家），已完成全年工作任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3、科技创新见行见效。持续强化科技创新平台建设，不断夯实科技成果转化，加大对企业研发投入和高企培育的指导，激发企业发展活力。科技指标更加优化。其中，全市R&amp;D投入13亿元，同比增长11.3%； 全年共申报成功高新技术企业29家，目前正在国家核查阶段，有效高企达到76家；完成有效技术合同交易额39.32亿元，同期增长19.1%；合同登记完成340件；科技型中小企业入库141家、智能制造企业16家、车间16个、工位104个。完成科技成果评价3项。在科技创新方面，获省科技厅计划项目立项5项（德邦的科技成果转化项目为衡阳唯一获评的）、市科技计划项目立项8项，高诺科技成果转化中试基地通过省厅考察程序，伟大农业专家工作站获省厅认定，承办全国文化、科技、卫生“三下乡”科技专场活动，全国弹簧标准制修订工作会议获圆满成功；在人才队伍建设上，人才申报认证方面被衡阳市市委人才办评为高级人才4人，金紫宇石爱斌博士被国家评为创业人才（全省唯一一个）；创建市级创新创业团队4家，辣过瘾创新创业团队获衡阳市人才团队立项。其中常宁市量大仿真模型有限公司引进外国人来华工作1人；在信息基础设施上，加快新基建，畅通了数字经济“大动脉”，保障了网络通信畅通。现有4G基站1603个，5G基站886个，今年全市新建基站162个，其中4G基站80个 5G基站82个，及时落实了代表、委员提出的村移动信号网络建设。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4、产业培塑提质提能。坚持围绕“一主一特”产业建链强链补链延链，不断推进两大产业上下游企业实施产值“原地倍增”。今年实施企业“倍增”项目21个，召开党政联席会议专题调度2次，市领导开展走访调研40余次。有色金属产业链上，水口山有色铅冶炼和矿山产能由年产45万吨提升至年产70万吨，每年可以节约成本超百万元，可实现利润税收翻番；五矿铜业5万吨阴极铜挖潜改造项目今年10月份建成投产，产值突破百亿，成为常宁市第一个百亿企业（衡阳市第二个）；金紫宇、瑞科美均已建成试产。在纺织服装产业方面，我们从零起步，打造牛仔服饰全产业链，目前集聚效应显现，制衣、洗水、印染、污水处理、热电联产等链条企业均已投产，形成了牛仔服饰产业特色集群。湘南纺织产业基地企业入驻30多家，开工建设投产见效11家。省委书记沈晓明现场调研我市工业企业对我市产业链建设给予了充分肯定。我市工业企业向绿而行、向新提质，今年被新华社分别报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5、助企纾困走深走实。创造性开展“益企护航”专项行动，组织了“亿元企业建设”“规工企业培育”“三送三解三优”“骨干企业原地倍增座谈会”“政银企恳谈会”“企业税收贡献20倍表彰”等主题活动，全面落实赋码机制、专班服务机制，建立问题收集、交办、督办机制，有力推进了助企纾困解难工作，帮助企业达产达效甚至增产增效；落实领导联企制度，书记、市长不定期分类分批组织企业家餐叙，将“送解优”情况及时短信推送至相关领导、部门和企业，进一步融洽了“亲清”政商关系；落实“136”营商环境工作机制，进一步规范了入企行为。近期，我们针对部分企业产值下滑和利润减少的不利现象，实行一名市级领导联点一家企业的“一对一”帮扶和周调度报告汇总机制，切实帮助企业解决生产经营和项目建设中困难和问题。完成科技型企业知识价值信用贷款42笔，贷款金额7758万元。全面开展政府拖欠企业账款工作，截至目前，我市已清理拨付中小企业的奖补资金或其他款项5669万元，有力提升了企业数智赋能的积极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6、争资跑项群策群力。年初，我们编发惠企政策口袋书1000余份，并主动上门帮助企业做好项目申报和政策落实，坚持“早准狠”三字诀，帮助企业争资跑项工作被湖南日报报道。目前，大规模设备更新再贷款项目已有8家进入国家清单库、14家列入湖南省清单库，省科技成果转化项目衡阳仅我们一家，争取中央引导地方科技发展项目2个、国家重点“小巨人”企业1个、湖南省先进制造业高地专项资金项目7个、创新型省份建设专项资金1个、中小企业专项资金项目3个、数字产业高质量发展专项资金项目4个、军民融合专项资金项目1个等项目20余个，共计获得资金达2000多万元，项目个数和资金总额均居衡阳市前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7、队伍建设从严从实。深入开展“学干比严”行动，督促机关干部练就过硬本领、优良作风。一是抓实政治理论学习。以“一月一课一片一实践”为载体，集中学习习近平新时代的新思想、新观点、新论断，并结合自学、召开警示教育会的形式巩固学习成效。局机关党支部开展给党员过政治生日颁发生日贺卡活动，两新支部开展了以“党建引领聚合力、用心用情促发展”为主题的轮值活动，培养了一名入党积极分子。我局机关党支部被市委组织部评为2023年度先进基层党组织。二是强化意识形态工作。全年局党组中心理论组集中学习16次，重点学习党的二十届三中全会精神，进一步提高了理论政策水平。局党组书记被市委宣传部聘为二十届三中全会精神宣讲员，积极总结科技、工业和信息化工作中的先进经验典型，在新闻媒体共发表了宣传报道30余篇。其中在省工信厅发表稿件6篇，省科技厅4篇，“湖南株冶有色金属有限公司打造锌冶炼行业数字化大脑”被湖南省开展“智赋万企”行动工作专报进行全省推介。三是夯实综治维稳。全年来，在信访方面完成上级批复信访事项11件，本单位接访事项30件，100人次，并已经100%回复，满意率98.8%。协调处理了松山、振兴、龙鑫三个煤矿的资源价款和债务领取纠纷问题；为原乡镇企业站28人依政策办理了2014年至2018年的医保补缴手续。四是加强组织建设。认真做好市管干部职级晋升工作，全年我局晋升四级调研员1名、一级主任科员1名、三级主任科员2名。完成了6名工勤编制考工定级的晋级工作。顺利完成了陈东方同志补登公务员套改为四级主任科员，我局2023年度绩效考核评估为优秀单位和2023年度市管领导班子优秀等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七、存在的问题及原因分析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年初预算绩效目标指标不够细化、量化。</w:t>
      </w:r>
    </w:p>
    <w:p>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eastAsia="黑体" w:cs="Times New Roman"/>
          <w:b w:val="0"/>
          <w:bCs w:val="0"/>
          <w:color w:val="auto"/>
          <w:kern w:val="2"/>
          <w:sz w:val="32"/>
          <w:szCs w:val="32"/>
          <w:lang w:val="en-US" w:eastAsia="zh-CN" w:bidi="ar-SA"/>
        </w:rPr>
      </w:pPr>
      <w:r>
        <w:rPr>
          <w:rFonts w:hint="eastAsia" w:eastAsia="黑体" w:cs="Times New Roman"/>
          <w:b w:val="0"/>
          <w:bCs w:val="0"/>
          <w:color w:val="auto"/>
          <w:kern w:val="2"/>
          <w:sz w:val="32"/>
          <w:szCs w:val="32"/>
          <w:lang w:val="en-US" w:eastAsia="zh-CN" w:bidi="ar-SA"/>
        </w:rPr>
        <w:t>八、下一步改进措施</w:t>
      </w:r>
    </w:p>
    <w:p>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加强绩效管理理念，将资金预算安排与绩效目标相结合，根据单位上年工作完成情况和下年度工作计划或中长期规划，细化、量化年初绩效目标，并将绩效目标与资金分配挂钩。</w:t>
      </w:r>
    </w:p>
    <w:p>
      <w:pPr>
        <w:keepNext/>
        <w:keepLines/>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default" w:eastAsia="黑体" w:cs="Times New Roman"/>
          <w:b w:val="0"/>
          <w:bCs w:val="0"/>
          <w:color w:val="auto"/>
          <w:kern w:val="2"/>
          <w:sz w:val="32"/>
          <w:szCs w:val="32"/>
          <w:lang w:val="en-US" w:eastAsia="zh-CN" w:bidi="ar-SA"/>
        </w:rPr>
      </w:pPr>
      <w:r>
        <w:rPr>
          <w:rFonts w:hint="eastAsia" w:eastAsia="黑体" w:cs="Times New Roman"/>
          <w:b w:val="0"/>
          <w:bCs w:val="0"/>
          <w:color w:val="auto"/>
          <w:kern w:val="2"/>
          <w:sz w:val="32"/>
          <w:szCs w:val="32"/>
          <w:lang w:val="en-US" w:eastAsia="zh-CN" w:bidi="ar-SA"/>
        </w:rPr>
        <w:t>九、其他需要说明的情况</w:t>
      </w:r>
    </w:p>
    <w:p>
      <w:pPr>
        <w:pStyle w:val="5"/>
        <w:rPr>
          <w:rFonts w:hint="default"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无</w:t>
      </w:r>
    </w:p>
    <w:sectPr>
      <w:pgSz w:w="11906" w:h="16838"/>
      <w:pgMar w:top="1440" w:right="1633" w:bottom="127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A18BB"/>
    <w:rsid w:val="051514C5"/>
    <w:rsid w:val="0D392EB7"/>
    <w:rsid w:val="14E80433"/>
    <w:rsid w:val="160349AB"/>
    <w:rsid w:val="1E195CF7"/>
    <w:rsid w:val="1F3F6A29"/>
    <w:rsid w:val="259F53FA"/>
    <w:rsid w:val="29D51E3C"/>
    <w:rsid w:val="2A0E6AE4"/>
    <w:rsid w:val="2F8F1D04"/>
    <w:rsid w:val="3137059D"/>
    <w:rsid w:val="3375117B"/>
    <w:rsid w:val="33DD18B9"/>
    <w:rsid w:val="36347EE5"/>
    <w:rsid w:val="3E733530"/>
    <w:rsid w:val="3E8A18BB"/>
    <w:rsid w:val="420D3B07"/>
    <w:rsid w:val="421F738E"/>
    <w:rsid w:val="472829CB"/>
    <w:rsid w:val="56567884"/>
    <w:rsid w:val="58753DB9"/>
    <w:rsid w:val="5B5D05D1"/>
    <w:rsid w:val="5C7A4816"/>
    <w:rsid w:val="5D3430F6"/>
    <w:rsid w:val="5E870F86"/>
    <w:rsid w:val="6325060A"/>
    <w:rsid w:val="66AC61BA"/>
    <w:rsid w:val="6ACD71ED"/>
    <w:rsid w:val="6D311E90"/>
    <w:rsid w:val="71142592"/>
    <w:rsid w:val="79EE5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4">
    <w:name w:val="heading 2"/>
    <w:basedOn w:val="1"/>
    <w:next w:val="5"/>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99"/>
    <w:pPr>
      <w:spacing w:before="100" w:beforeAutospacing="1" w:after="100" w:afterAutospacing="1"/>
      <w:ind w:left="420" w:leftChars="200"/>
    </w:pPr>
  </w:style>
  <w:style w:type="paragraph" w:styleId="5">
    <w:name w:val="Normal Indent"/>
    <w:basedOn w:val="1"/>
    <w:unhideWhenUsed/>
    <w:qFormat/>
    <w:uiPriority w:val="0"/>
    <w:pPr>
      <w:ind w:firstLine="88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标4"/>
    <w:basedOn w:val="1"/>
    <w:qFormat/>
    <w:uiPriority w:val="99"/>
    <w:pPr>
      <w:adjustRightInd w:val="0"/>
      <w:spacing w:before="240" w:after="360" w:line="240" w:lineRule="exact"/>
      <w:outlineLvl w:val="3"/>
    </w:pPr>
    <w:rPr>
      <w:rFonts w:ascii="Arial" w:hAnsi="Arial" w:cs="Arial"/>
      <w:b/>
      <w:bCs/>
      <w:kern w:val="24"/>
    </w:rPr>
  </w:style>
  <w:style w:type="paragraph" w:customStyle="1" w:styleId="10">
    <w:name w:val="Normal"/>
    <w:basedOn w:val="1"/>
    <w:qFormat/>
    <w:uiPriority w:val="0"/>
    <w:pPr>
      <w:widowControl/>
    </w:pPr>
    <w:rPr>
      <w:rFonts w:ascii="Calibri" w:hAnsi="Calibri" w:eastAsia="宋体"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2221</Words>
  <Characters>2334</Characters>
  <Lines>0</Lines>
  <Paragraphs>0</Paragraphs>
  <TotalTime>2</TotalTime>
  <ScaleCrop>false</ScaleCrop>
  <LinksUpToDate>false</LinksUpToDate>
  <CharactersWithSpaces>2338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2025-03-21T01:39:00Z</dcterms:created>
  <dc:creator>AAA小仔当家童装15367088480</dc:creator>
  <cp:lastModifiedBy>Administrator</cp:lastModifiedBy>
  <dcterms:modified xsi:type="dcterms:W3CDTF">2025-08-28T01:09:52Z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BAD46F6C9BED44398C7AA1B740EDBA1D_13</vt:lpwstr>
  </property>
  <property fmtid="{D5CDD505-2E9C-101B-9397-08002B2CF9AE}" pid="4" name="KSOTemplateDocerSaveRecord">
    <vt:lpwstr>eyJoZGlkIjoiZmE3NGM1NzI5NjU0ZTY3MWUyYzQ2OGU5ZjMzZGQ4ZTUiLCJ1c2VySWQiOiI1NjUyNDM5MTUifQ==</vt:lpwstr>
  </property>
</Properties>
</file>