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291">
      <w:pPr>
        <w:jc w:val="center"/>
        <w:rPr>
          <w:rFonts w:ascii="Times New Roman" w:hAnsi="Times New Roman" w:eastAsia="方正小标宋_GBK" w:cs="Times New Roman"/>
          <w:sz w:val="52"/>
          <w:szCs w:val="52"/>
        </w:rPr>
      </w:pPr>
    </w:p>
    <w:p w14:paraId="3EF2A54B">
      <w:pPr>
        <w:jc w:val="center"/>
        <w:rPr>
          <w:rFonts w:ascii="Times New Roman" w:hAnsi="Times New Roman" w:eastAsia="方正小标宋_GBK" w:cs="Times New Roman"/>
          <w:sz w:val="52"/>
          <w:szCs w:val="52"/>
        </w:rPr>
      </w:pPr>
    </w:p>
    <w:p w14:paraId="7BCD83C8">
      <w:pPr>
        <w:jc w:val="center"/>
        <w:rPr>
          <w:rFonts w:ascii="Times New Roman" w:hAnsi="Times New Roman" w:eastAsia="方正小标宋_GBK" w:cs="Times New Roman"/>
          <w:sz w:val="52"/>
          <w:szCs w:val="52"/>
        </w:rPr>
      </w:pPr>
    </w:p>
    <w:p w14:paraId="37A59C72">
      <w:pPr>
        <w:jc w:val="center"/>
        <w:rPr>
          <w:rFonts w:ascii="Times New Roman" w:hAnsi="Times New Roman" w:eastAsia="方正小标宋_GBK" w:cs="Times New Roman"/>
          <w:sz w:val="52"/>
          <w:szCs w:val="52"/>
        </w:rPr>
      </w:pPr>
    </w:p>
    <w:p w14:paraId="00BC9CD5">
      <w:pPr>
        <w:jc w:val="center"/>
        <w:rPr>
          <w:rFonts w:hint="eastAsia"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常宁水口山经济开发区管理委员会</w:t>
      </w:r>
    </w:p>
    <w:p w14:paraId="3CB6230D">
      <w:pPr>
        <w:jc w:val="center"/>
        <w:rPr>
          <w:rFonts w:ascii="Times New Roman" w:hAnsi="Times New Roman" w:eastAsia="方正小标宋_GBK" w:cs="Times New Roman"/>
          <w:sz w:val="52"/>
          <w:szCs w:val="52"/>
        </w:rPr>
      </w:pPr>
      <w:r>
        <w:rPr>
          <w:rFonts w:ascii="方正小标宋_GBK" w:hAnsi="Times New Roman" w:eastAsia="方正小标宋_GBK" w:cs="Times New Roman"/>
          <w:sz w:val="52"/>
          <w:szCs w:val="52"/>
        </w:rPr>
        <w:t>部门整体支出绩效自评报告</w:t>
      </w:r>
    </w:p>
    <w:bookmarkEnd w:id="0"/>
    <w:p w14:paraId="3F53A1EF">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52D080F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EF9BD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AE6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BADC96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AFE8A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97557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412404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0C9086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7D38BB">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0AA0E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2CDACA0">
      <w:pPr>
        <w:spacing w:line="600" w:lineRule="exact"/>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b w:val="0"/>
          <w:bCs w:val="0"/>
          <w:sz w:val="32"/>
          <w:szCs w:val="32"/>
          <w:u w:val="single"/>
        </w:rPr>
        <w:t>常宁水口山经济开发区管理委员会</w:t>
      </w:r>
      <w:r>
        <w:rPr>
          <w:rFonts w:ascii="Times New Roman" w:hAnsi="Times New Roman" w:eastAsia="仿宋_GB2312" w:cs="Times New Roman"/>
          <w:sz w:val="32"/>
          <w:szCs w:val="32"/>
          <w:u w:val="single"/>
        </w:rPr>
        <w:t xml:space="preserve"> </w:t>
      </w:r>
    </w:p>
    <w:p w14:paraId="1700032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0571B5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A095029">
      <w:pPr>
        <w:jc w:val="center"/>
        <w:rPr>
          <w:rFonts w:ascii="Times New Roman" w:hAnsi="Times New Roman" w:eastAsia="仿宋_GB2312" w:cs="Times New Roman"/>
        </w:rPr>
      </w:pPr>
    </w:p>
    <w:p w14:paraId="654325F9">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度常宁水口山经济开发区管理委员会</w:t>
      </w:r>
      <w:r>
        <w:rPr>
          <w:rFonts w:ascii="方正小标宋_GBK" w:hAnsi="Times New Roman" w:eastAsia="方正小标宋_GBK" w:cs="Times New Roman"/>
          <w:sz w:val="44"/>
          <w:szCs w:val="44"/>
        </w:rPr>
        <w:t>部门整体支出绩效自评报告</w:t>
      </w:r>
    </w:p>
    <w:p w14:paraId="55A05C1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EBA861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F31B9D5">
      <w:pPr>
        <w:pStyle w:val="9"/>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3805E1A2">
      <w:pPr>
        <w:spacing w:beforeLines="0" w:afterLines="0" w:line="520" w:lineRule="exact"/>
        <w:ind w:firstLine="640"/>
        <w:rPr>
          <w:rFonts w:hint="default" w:eastAsia="Times New Roman"/>
          <w:sz w:val="32"/>
          <w:szCs w:val="24"/>
          <w:lang w:val="zh-CN"/>
        </w:rPr>
      </w:pPr>
      <w:r>
        <w:rPr>
          <w:rFonts w:hint="eastAsia"/>
          <w:sz w:val="32"/>
          <w:szCs w:val="24"/>
          <w:lang w:val="zh-CN"/>
        </w:rPr>
        <w:t>（一）</w:t>
      </w:r>
      <w:r>
        <w:rPr>
          <w:rFonts w:hint="eastAsia" w:ascii="仿宋" w:hAnsi="仿宋" w:eastAsia="仿宋"/>
          <w:sz w:val="32"/>
          <w:szCs w:val="24"/>
          <w:lang w:val="zh-CN"/>
        </w:rPr>
        <w:t>．主要职能。</w:t>
      </w:r>
    </w:p>
    <w:p w14:paraId="0A78EDCF">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1、贯彻执行党和国家关于开发区的方针政策、法律法规和决策部署。</w:t>
      </w:r>
    </w:p>
    <w:p w14:paraId="3FA0742A">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2、研究拟订和组织实施水口山经开区重大发展战略、发展规划和工作计划。</w:t>
      </w:r>
    </w:p>
    <w:p w14:paraId="6FD89308">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3、按照常宁市国土空间总体规划和产业发展规划要求及相关权限，统筹建设发展空间布局。拟订水口山经开区发展规划、产业布局、产业政策、项目准入标准等重要事项并组织实施。</w:t>
      </w:r>
    </w:p>
    <w:p w14:paraId="0CCDF8F8">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4、招商引资工作，组织对外经济技术合作与交流。负责水口山经开区基础设施、公用事业、重大项目等建设管理相关工作。</w:t>
      </w:r>
    </w:p>
    <w:p w14:paraId="4154901D">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5、优化营商环境工作，根据权限依法承担有关行政审批工作，履行行政审批服务职责。负责构建水口山经开区创新创业服务体系，协助企业做好人才引进和服务工作。</w:t>
      </w:r>
    </w:p>
    <w:p w14:paraId="1F812AE6">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6、负责科技创新和高新技术产业管理和服务，开展有关科技创新和高新技术产业政策研究，构建技术创新服务体系。指导园区企业建立现代化企业制度，推进高新技术产业化、国际化。</w:t>
      </w:r>
    </w:p>
    <w:p w14:paraId="257BB6DD">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7、负责党的建设和“两新”组织党建工作。</w:t>
      </w:r>
    </w:p>
    <w:p w14:paraId="4DB07F10">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8、根据有关要求和职责分工，承担水口山经开区综合管理、统计、审计、信息、安全生产监督管理、生态环境保护、国有资产管理和财务管理等工作。</w:t>
      </w:r>
    </w:p>
    <w:p w14:paraId="63766F53">
      <w:pPr>
        <w:spacing w:beforeLines="0" w:afterLines="0" w:line="520" w:lineRule="exact"/>
        <w:ind w:firstLine="320" w:firstLineChars="100"/>
        <w:rPr>
          <w:rFonts w:hint="eastAsia" w:ascii="仿宋" w:hAnsi="仿宋" w:eastAsia="仿宋"/>
          <w:sz w:val="32"/>
          <w:szCs w:val="24"/>
          <w:lang w:val="zh-CN"/>
        </w:rPr>
      </w:pPr>
      <w:r>
        <w:rPr>
          <w:rFonts w:hint="eastAsia" w:ascii="仿宋" w:hAnsi="仿宋" w:eastAsia="仿宋"/>
          <w:sz w:val="32"/>
          <w:szCs w:val="24"/>
          <w:lang w:val="zh-CN"/>
        </w:rPr>
        <w:t>9、承办中共衡阳市委、衡阳市人民政府和中共常宁市委、常宁市人民政府交办的其他事项。</w:t>
      </w:r>
    </w:p>
    <w:p w14:paraId="3B8DE43D">
      <w:pPr>
        <w:spacing w:beforeLines="0" w:afterLines="0" w:line="520" w:lineRule="exact"/>
        <w:ind w:firstLine="320" w:firstLineChars="100"/>
        <w:rPr>
          <w:rFonts w:hint="default" w:eastAsia="Times New Roman"/>
          <w:sz w:val="32"/>
          <w:szCs w:val="24"/>
          <w:lang w:val="zh-CN"/>
        </w:rPr>
      </w:pPr>
      <w:r>
        <w:rPr>
          <w:rFonts w:hint="eastAsia"/>
          <w:sz w:val="32"/>
          <w:szCs w:val="24"/>
          <w:lang w:val="zh-CN"/>
        </w:rPr>
        <w:t>（二）</w:t>
      </w:r>
      <w:r>
        <w:rPr>
          <w:rFonts w:hint="eastAsia" w:ascii="仿宋" w:hAnsi="仿宋" w:eastAsia="仿宋"/>
          <w:sz w:val="32"/>
          <w:szCs w:val="24"/>
          <w:lang w:val="zh-CN"/>
        </w:rPr>
        <w:t>．机构情况，2024年本单位本级由组成。</w:t>
      </w:r>
    </w:p>
    <w:p w14:paraId="0EA91FEA">
      <w:pPr>
        <w:pStyle w:val="9"/>
        <w:spacing w:line="600" w:lineRule="exact"/>
        <w:rPr>
          <w:rFonts w:ascii="黑体" w:hAnsi="黑体" w:eastAsia="黑体" w:cs="Times New Roman"/>
          <w:sz w:val="32"/>
          <w:szCs w:val="32"/>
        </w:rPr>
      </w:pPr>
      <w:r>
        <w:rPr>
          <w:rFonts w:hint="eastAsia"/>
          <w:sz w:val="32"/>
          <w:szCs w:val="24"/>
          <w:lang w:val="zh-CN"/>
        </w:rPr>
        <w:t>（三）</w:t>
      </w:r>
      <w:r>
        <w:rPr>
          <w:rFonts w:hint="eastAsia" w:ascii="仿宋" w:hAnsi="仿宋" w:eastAsia="仿宋"/>
          <w:sz w:val="32"/>
          <w:szCs w:val="24"/>
          <w:lang w:val="zh-CN"/>
        </w:rPr>
        <w:t>．人员情况。2024年本单位年未实有人数</w:t>
      </w:r>
      <w:r>
        <w:rPr>
          <w:rFonts w:hint="eastAsia" w:ascii="仿宋" w:hAnsi="仿宋" w:eastAsia="仿宋"/>
          <w:sz w:val="28"/>
          <w:szCs w:val="24"/>
          <w:lang w:val="en-US" w:eastAsia="zh-CN"/>
        </w:rPr>
        <w:t>4</w:t>
      </w:r>
      <w:r>
        <w:rPr>
          <w:rFonts w:hint="eastAsia"/>
          <w:sz w:val="28"/>
          <w:szCs w:val="24"/>
          <w:lang w:val="en-US" w:eastAsia="zh-CN"/>
        </w:rPr>
        <w:t>7</w:t>
      </w:r>
      <w:r>
        <w:rPr>
          <w:rFonts w:hint="eastAsia" w:ascii="仿宋" w:hAnsi="仿宋" w:eastAsia="仿宋"/>
          <w:sz w:val="32"/>
          <w:szCs w:val="24"/>
          <w:lang w:val="zh-CN"/>
        </w:rPr>
        <w:t>人</w:t>
      </w:r>
      <w:r>
        <w:rPr>
          <w:rFonts w:hint="eastAsia"/>
          <w:sz w:val="32"/>
          <w:szCs w:val="24"/>
          <w:lang w:val="zh-CN"/>
        </w:rPr>
        <w:t>。</w:t>
      </w:r>
      <w:bookmarkStart w:id="1" w:name="_GoBack"/>
      <w:bookmarkEnd w:id="1"/>
    </w:p>
    <w:p w14:paraId="15542DDB">
      <w:pPr>
        <w:pStyle w:val="8"/>
        <w:widowControl/>
        <w:numPr>
          <w:numId w:val="0"/>
        </w:num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二、</w:t>
      </w:r>
      <w:r>
        <w:rPr>
          <w:rFonts w:ascii="黑体" w:hAnsi="黑体" w:eastAsia="黑体" w:cs="Times New Roman"/>
          <w:sz w:val="32"/>
          <w:szCs w:val="32"/>
        </w:rPr>
        <w:t>一般公共预算支出情况</w:t>
      </w:r>
    </w:p>
    <w:p w14:paraId="7A16185E">
      <w:pPr>
        <w:pStyle w:val="8"/>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917.85</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767.53</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150.32</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50E343A">
      <w:pPr>
        <w:pStyle w:val="8"/>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2024年度项目支出9324.71万元，具体支出如下表</w:t>
      </w:r>
      <w:r>
        <w:rPr>
          <w:rFonts w:hint="eastAsia" w:ascii="宋体" w:hAnsi="宋体" w:eastAsia="宋体"/>
          <w:sz w:val="32"/>
          <w:szCs w:val="32"/>
        </w:rPr>
        <w:t>：</w:t>
      </w:r>
    </w:p>
    <w:p w14:paraId="70E51563">
      <w:pPr>
        <w:spacing w:line="500" w:lineRule="exact"/>
        <w:ind w:firstLine="640" w:firstLineChars="200"/>
        <w:rPr>
          <w:rFonts w:hint="eastAsia" w:ascii="宋体" w:hAnsi="宋体" w:eastAsia="宋体"/>
          <w:sz w:val="32"/>
          <w:szCs w:val="32"/>
        </w:rPr>
      </w:pP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1"/>
        <w:gridCol w:w="1308"/>
      </w:tblGrid>
      <w:tr w14:paraId="2F09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21"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4BE52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08"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7650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4DAD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2F42D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FC18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9,324.71</w:t>
            </w:r>
          </w:p>
        </w:tc>
      </w:tr>
      <w:tr w14:paraId="64FC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57B2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上年结转安排水口山经开区化工园区复核认定相关经费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DC2BD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w:t>
            </w:r>
          </w:p>
        </w:tc>
      </w:tr>
      <w:tr w14:paraId="4E17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6940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化工园区复核</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1641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r>
      <w:tr w14:paraId="2036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3C0C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招商引资、调规扩园等项目1</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324B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735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020A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从工业发展及开放型经济发展专项资金中安排施工图审查费1</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1204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r>
      <w:tr w14:paraId="3A76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3016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水口山环卫所包干经费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154A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580A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BDF1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上年结转从纳入预算管理的非税收入拨款安排单位项目经费（环卫所）</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2127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r>
      <w:tr w14:paraId="6FB0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C6FC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重点项目建设及城市管理1</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9F48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3BBB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CD83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招商引资及形象宣传</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7CF4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r>
      <w:tr w14:paraId="5B45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7156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招商引资、调规扩园等项目</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2F9C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28.95</w:t>
            </w:r>
          </w:p>
        </w:tc>
      </w:tr>
      <w:tr w14:paraId="65C6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ACD7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招商引资及形象宣传1</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4D3F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32.61</w:t>
            </w:r>
          </w:p>
        </w:tc>
      </w:tr>
      <w:tr w14:paraId="5B7E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FC3B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上年结转从工业发展及开放型经济发展专项资金中安排水口山经开区“五好”园区创建、化工园区复核工作相关经费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66FC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172.40</w:t>
            </w:r>
          </w:p>
        </w:tc>
      </w:tr>
      <w:tr w14:paraId="37A5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E75D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从机关事业专项资金中安排海关经费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FA6E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0AC6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DFE3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湘财建指【2021】23号关于下达2021年省预算内基建资金（常宁市水口山铜业小镇铜铅锌检验检测中心建设项目）</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7F78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214.66</w:t>
            </w:r>
          </w:p>
        </w:tc>
      </w:tr>
      <w:tr w14:paraId="587D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5EE3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从农林水专项资金中安排水口山工业园基础设施建设PPP项目可行性缺口补助（第三次）</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1D222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416.50</w:t>
            </w:r>
          </w:p>
        </w:tc>
      </w:tr>
      <w:tr w14:paraId="6F85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28EE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1上年结转从工业发展及开放型经济发展专项资金中安排高诺产业集团有限公司企业扶持发展资金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39D6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883.95</w:t>
            </w:r>
          </w:p>
        </w:tc>
      </w:tr>
      <w:tr w14:paraId="7455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CCA2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从工业发展及开放型经济发展专项资金中安排荣诚鞋业有限公司企业扶持发展资金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918C8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w:t>
            </w:r>
          </w:p>
        </w:tc>
      </w:tr>
      <w:tr w14:paraId="34BC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5684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从工业发展及开放型经济发展专项资金中安排金翼（2023年11月年7月）企业扶持发展资金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49F1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5341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D824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上年结转从工业发展及开放型经济发展专项资金中安排高诺产业集团有限公司企业扶持资金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7089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982.39</w:t>
            </w:r>
          </w:p>
        </w:tc>
      </w:tr>
      <w:tr w14:paraId="0F92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70B2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上年结转从工业发展及开放型经济发展专项资金中安排高诺产业集团有限公司企业扶持资金1</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0EAA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841.52</w:t>
            </w:r>
          </w:p>
        </w:tc>
      </w:tr>
      <w:tr w14:paraId="3BF7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1B70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上年结转从工业发展及开放型经济发展专项资金中安排金翼企业扶持发展资金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D192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342.09</w:t>
            </w:r>
          </w:p>
        </w:tc>
      </w:tr>
      <w:tr w14:paraId="2040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157A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从工业发展及开放型经济发展专项资金中安排创建国家级经开区资金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646E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49.80</w:t>
            </w:r>
          </w:p>
        </w:tc>
      </w:tr>
      <w:tr w14:paraId="6E47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0C57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从县域特色优势产业发展引导基金中安排高诺产业集团有限公司扶持发展资金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E817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r>
      <w:tr w14:paraId="1EEA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BD36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上年结转从工业发展及开放型经济发展专项资金中安排高诺产业集团有限公司企业扶持发展资金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9CC4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852.02</w:t>
            </w:r>
          </w:p>
        </w:tc>
      </w:tr>
      <w:tr w14:paraId="4440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236B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从工业发展和开放型经济发展专项资金中安排高诺产业集团有限公司企业扶持发展资金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D57E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933.75</w:t>
            </w:r>
          </w:p>
        </w:tc>
      </w:tr>
      <w:tr w14:paraId="371C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AC58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从工业发展及开放型经济发展专项资金中安排金翼企业扶持发展资金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E29B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1,396.15</w:t>
            </w:r>
          </w:p>
        </w:tc>
      </w:tr>
      <w:tr w14:paraId="2492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A938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为从社会保障和就业专项资金中安排退休干部待遇补贴</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BD21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14:paraId="70AA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82D5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2021年11月-2022年12月宜阳工业园污水处理费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DC73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6B87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B3D2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上年结转从国土环保专项资金中安排水口山污水处理厂运营费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40A0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1176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D2D6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污水处理厂泵站及管理运行费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21FC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r>
      <w:tr w14:paraId="46A6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FBE3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从湘财预（2023）369号下达重点生态功能区转移支付中安排生态修复资金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DCFB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39.80</w:t>
            </w:r>
          </w:p>
        </w:tc>
      </w:tr>
      <w:tr w14:paraId="7879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050B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洞庭清波整改项目资金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4B7A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118.88</w:t>
            </w:r>
          </w:p>
        </w:tc>
      </w:tr>
      <w:tr w14:paraId="2776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4F57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安排水口山经开区环保工作经费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FB48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w:t>
            </w:r>
          </w:p>
        </w:tc>
      </w:tr>
      <w:tr w14:paraId="41F8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8B74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上年结转从城市建设和管理专项资金中安排水口山经开区路灯电费及维护费</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A2AB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37.47</w:t>
            </w:r>
          </w:p>
        </w:tc>
      </w:tr>
      <w:tr w14:paraId="4FA1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EAFF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湘财预（2023）0093号下达2023年第二批地方政府新增一般债务限额（经开区环卫设施提升项目）</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F948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69C6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0CDD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衡财企指〔2024〕0290号下达2024年产业链工作经费（纺织产业链）</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2B4B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AA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C994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城区老工业搬迁改造资金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E688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3B0C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F529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湘财建指（2021）106号关于下达部分“135”工程升级版第三批奖补资金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CD10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256.00</w:t>
            </w:r>
          </w:p>
        </w:tc>
      </w:tr>
      <w:tr w14:paraId="2F13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21"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CB90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从机关事业专项资金中安排2023年度安全生产先进单位和先进个人奖励资金</w:t>
            </w:r>
          </w:p>
        </w:tc>
        <w:tc>
          <w:tcPr>
            <w:tcW w:w="1308"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008E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bl>
    <w:p w14:paraId="3D2D8A3B">
      <w:pPr>
        <w:spacing w:line="500" w:lineRule="exact"/>
        <w:ind w:firstLine="640" w:firstLineChars="200"/>
        <w:rPr>
          <w:rFonts w:hint="eastAsia" w:ascii="宋体" w:hAnsi="宋体" w:eastAsia="宋体"/>
          <w:sz w:val="32"/>
          <w:szCs w:val="32"/>
        </w:rPr>
      </w:pPr>
    </w:p>
    <w:p w14:paraId="62FD30F5">
      <w:pPr>
        <w:spacing w:line="500" w:lineRule="exact"/>
        <w:ind w:firstLine="640" w:firstLineChars="200"/>
        <w:rPr>
          <w:rFonts w:hint="eastAsia" w:ascii="宋体" w:hAnsi="宋体" w:eastAsia="宋体"/>
          <w:sz w:val="32"/>
          <w:szCs w:val="32"/>
        </w:rPr>
      </w:pPr>
    </w:p>
    <w:p w14:paraId="0384B589">
      <w:pPr>
        <w:spacing w:line="500" w:lineRule="exact"/>
        <w:ind w:firstLine="640" w:firstLineChars="20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2024年度我单位政府性基金预算支出</w:t>
      </w:r>
      <w:r>
        <w:rPr>
          <w:rFonts w:hint="eastAsia" w:ascii="仿宋_GB2312" w:hAnsi="仿宋_GB2312" w:eastAsia="仿宋_GB2312" w:cs="仿宋_GB2312"/>
          <w:sz w:val="32"/>
          <w:szCs w:val="32"/>
          <w:lang w:val="en-US" w:eastAsia="zh-CN"/>
        </w:rPr>
        <w:t>600.7万元，为从土地出让收中安排水口山工业园区基础设施建设和园区发展财政资金</w:t>
      </w:r>
      <w:r>
        <w:rPr>
          <w:rFonts w:hint="eastAsia" w:ascii="仿宋_GB2312" w:hAnsi="仿宋_GB2312" w:eastAsia="仿宋_GB2312" w:cs="仿宋_GB2312"/>
          <w:sz w:val="32"/>
          <w:szCs w:val="32"/>
        </w:rPr>
        <w:t>。</w:t>
      </w:r>
    </w:p>
    <w:p w14:paraId="4AD3375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6C0CB04">
      <w:pPr>
        <w:pStyle w:val="8"/>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635A5D2E">
      <w:pPr>
        <w:pStyle w:val="9"/>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1658D797">
      <w:pPr>
        <w:overflowPunct w:val="0"/>
        <w:spacing w:line="560" w:lineRule="exact"/>
        <w:ind w:firstLine="640" w:firstLineChars="200"/>
        <w:rPr>
          <w:rFonts w:hint="eastAsia" w:ascii="Times New Roman" w:hAnsi="Times New Roman" w:eastAsia="仿宋_GB2312" w:cs="Times New Roman"/>
          <w:kern w:val="2"/>
          <w:sz w:val="32"/>
          <w:szCs w:val="32"/>
          <w:lang w:eastAsia="zh-CN"/>
        </w:rPr>
      </w:pPr>
      <w:r>
        <w:rPr>
          <w:rFonts w:ascii="Times New Roman" w:hAnsi="Times New Roman" w:eastAsia="仿宋_GB2312" w:cs="Times New Roman"/>
          <w:sz w:val="32"/>
          <w:szCs w:val="32"/>
        </w:rPr>
        <w:t>2024年，</w:t>
      </w:r>
      <w:r>
        <w:rPr>
          <w:rFonts w:hint="eastAsia" w:ascii="Times New Roman" w:hAnsi="Times New Roman" w:eastAsia="仿宋_GB2312" w:cs="Times New Roman"/>
          <w:kern w:val="2"/>
          <w:sz w:val="32"/>
          <w:szCs w:val="32"/>
        </w:rPr>
        <w:t>水口山经开区实现技工贸总收入458.8亿元，同比增长7.43%；规模工业企业营业收入389.13亿元，同比增长6.73%；税收15.06亿元，同比增长10.88%</w:t>
      </w:r>
      <w:r>
        <w:rPr>
          <w:rFonts w:hint="eastAsia" w:ascii="Times New Roman" w:hAnsi="Times New Roman" w:eastAsia="仿宋_GB2312" w:cs="Times New Roman"/>
          <w:kern w:val="2"/>
          <w:sz w:val="32"/>
          <w:szCs w:val="32"/>
          <w:lang w:eastAsia="zh-CN"/>
        </w:rPr>
        <w:t>。</w:t>
      </w:r>
    </w:p>
    <w:p w14:paraId="56714A7B">
      <w:pPr>
        <w:widowControl w:val="0"/>
        <w:spacing w:after="0" w:line="578"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推动园区创建，提档升级步伐加快。</w:t>
      </w:r>
      <w:r>
        <w:rPr>
          <w:rFonts w:hint="eastAsia" w:ascii="Times New Roman" w:hAnsi="Times New Roman" w:eastAsia="仿宋_GB2312" w:cs="Times New Roman"/>
          <w:sz w:val="32"/>
          <w:szCs w:val="32"/>
        </w:rPr>
        <w:t>我区紧紧围绕“五好”园区综合排名进入全省前20名的工作目标发力，加快“五好”园区建设，积极争创国家级绿色园区、安全生产D级园区，全面推进国家级经济开发区创建工作。今年初，</w:t>
      </w:r>
      <w:r>
        <w:rPr>
          <w:rFonts w:ascii="Times New Roman" w:hAnsi="Times New Roman" w:eastAsia="仿宋_GB2312"/>
          <w:color w:val="000000"/>
          <w:sz w:val="32"/>
          <w:szCs w:val="32"/>
          <w:shd w:val="clear" w:color="auto" w:fill="FFFFFF"/>
        </w:rPr>
        <w:t>常宁市委</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市政府成立工作专班将水口山经开区创建国家级</w:t>
      </w:r>
      <w:r>
        <w:rPr>
          <w:rFonts w:hint="eastAsia" w:ascii="Times New Roman" w:hAnsi="Times New Roman" w:eastAsia="仿宋_GB2312"/>
          <w:color w:val="000000"/>
          <w:sz w:val="32"/>
          <w:szCs w:val="32"/>
          <w:shd w:val="clear" w:color="auto" w:fill="FFFFFF"/>
        </w:rPr>
        <w:t>经济开发区</w:t>
      </w:r>
      <w:r>
        <w:rPr>
          <w:rFonts w:ascii="Times New Roman" w:hAnsi="Times New Roman" w:eastAsia="仿宋_GB2312"/>
          <w:color w:val="000000"/>
          <w:sz w:val="32"/>
          <w:szCs w:val="32"/>
          <w:shd w:val="clear" w:color="auto" w:fill="FFFFFF"/>
        </w:rPr>
        <w:t>正式提上议事日程</w:t>
      </w:r>
      <w:r>
        <w:rPr>
          <w:rFonts w:hint="eastAsia" w:ascii="Times New Roman" w:hAnsi="Times New Roman" w:eastAsia="仿宋_GB2312"/>
          <w:color w:val="000000"/>
          <w:sz w:val="32"/>
          <w:szCs w:val="32"/>
          <w:shd w:val="clear" w:color="auto" w:fill="FFFFFF"/>
        </w:rPr>
        <w:t>，我区是</w:t>
      </w:r>
      <w:r>
        <w:rPr>
          <w:rFonts w:ascii="Times New Roman" w:hAnsi="Times New Roman" w:eastAsia="仿宋_GB2312"/>
          <w:color w:val="000000"/>
          <w:sz w:val="32"/>
          <w:szCs w:val="32"/>
          <w:shd w:val="clear" w:color="auto" w:fill="FFFFFF"/>
        </w:rPr>
        <w:t>衡阳市唯一向省商务厅推荐申报的园区。</w:t>
      </w:r>
      <w:r>
        <w:rPr>
          <w:rFonts w:hint="eastAsia" w:ascii="Times New Roman" w:hAnsi="Times New Roman" w:eastAsia="仿宋_GB2312"/>
          <w:color w:val="000000"/>
          <w:sz w:val="32"/>
          <w:szCs w:val="32"/>
          <w:shd w:val="clear" w:color="auto" w:fill="FFFFFF"/>
        </w:rPr>
        <w:t>我区积极对接上级主管部门，围绕创建要求，</w:t>
      </w:r>
      <w:r>
        <w:rPr>
          <w:rFonts w:hint="eastAsia" w:ascii="Times New Roman" w:hAnsi="Times New Roman" w:eastAsia="仿宋_GB2312" w:cs="Times New Roman"/>
          <w:sz w:val="32"/>
          <w:szCs w:val="32"/>
        </w:rPr>
        <w:t>与新疆喀什麦盖提县工业园</w:t>
      </w:r>
      <w:r>
        <w:rPr>
          <w:rFonts w:hint="eastAsia" w:ascii="Times New Roman" w:hAnsi="Times New Roman" w:eastAsia="仿宋_GB2312"/>
          <w:sz w:val="32"/>
          <w:szCs w:val="32"/>
        </w:rPr>
        <w:t>签订了合作共建协议，</w:t>
      </w:r>
      <w:r>
        <w:rPr>
          <w:rFonts w:ascii="Times New Roman" w:hAnsi="Times New Roman" w:eastAsia="仿宋_GB2312"/>
          <w:sz w:val="32"/>
          <w:szCs w:val="32"/>
        </w:rPr>
        <w:t>聘请中国循环经济协会指导我们完成了园区创建5个一级指标30个二级指标相关数据填报</w:t>
      </w:r>
      <w:r>
        <w:rPr>
          <w:rFonts w:hint="eastAsia" w:ascii="Times New Roman" w:hAnsi="Times New Roman" w:eastAsia="仿宋_GB2312"/>
          <w:sz w:val="32"/>
          <w:szCs w:val="32"/>
        </w:rPr>
        <w:t>以及</w:t>
      </w:r>
      <w:r>
        <w:rPr>
          <w:rFonts w:hint="eastAsia" w:ascii="Times New Roman" w:hAnsi="Times New Roman" w:eastAsia="仿宋_GB2312"/>
          <w:color w:val="000000"/>
          <w:sz w:val="32"/>
          <w:szCs w:val="32"/>
          <w:shd w:val="clear" w:color="auto" w:fill="FFFFFF"/>
        </w:rPr>
        <w:t>申报</w:t>
      </w:r>
      <w:r>
        <w:rPr>
          <w:rFonts w:ascii="Times New Roman" w:hAnsi="Times New Roman" w:eastAsia="仿宋_GB2312"/>
          <w:color w:val="000000"/>
          <w:sz w:val="32"/>
          <w:szCs w:val="32"/>
          <w:shd w:val="clear" w:color="auto" w:fill="FFFFFF"/>
        </w:rPr>
        <w:t>资料编制，</w:t>
      </w:r>
      <w:r>
        <w:rPr>
          <w:rFonts w:hint="eastAsia" w:ascii="Times New Roman" w:hAnsi="Times New Roman" w:eastAsia="仿宋_GB2312"/>
          <w:sz w:val="32"/>
          <w:szCs w:val="32"/>
        </w:rPr>
        <w:t>并正式</w:t>
      </w:r>
      <w:r>
        <w:rPr>
          <w:rFonts w:hint="eastAsia" w:ascii="Times New Roman" w:hAnsi="Times New Roman" w:eastAsia="仿宋_GB2312" w:cs="Times New Roman"/>
          <w:sz w:val="32"/>
          <w:szCs w:val="32"/>
        </w:rPr>
        <w:t>向省商务厅上报了相关资料，</w:t>
      </w:r>
      <w:r>
        <w:rPr>
          <w:rFonts w:ascii="Times New Roman" w:hAnsi="Times New Roman" w:eastAsia="仿宋_GB2312" w:cs="Times New Roman"/>
          <w:sz w:val="32"/>
          <w:szCs w:val="32"/>
        </w:rPr>
        <w:t>目前正按照头年申报、三年冲刺的目标全力推进国家级经开区创建工作。</w:t>
      </w:r>
    </w:p>
    <w:p w14:paraId="6FEFE14E">
      <w:pPr>
        <w:widowControl w:val="0"/>
        <w:spacing w:after="0" w:line="578"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2.</w:t>
      </w:r>
      <w:r>
        <w:rPr>
          <w:rFonts w:ascii="Times New Roman" w:hAnsi="Times New Roman" w:eastAsia="楷体_GB2312" w:cs="Times New Roman"/>
          <w:b/>
          <w:sz w:val="32"/>
          <w:szCs w:val="32"/>
        </w:rPr>
        <w:t>聚力项目建设，产业发展稳中有进。</w:t>
      </w:r>
      <w:r>
        <w:rPr>
          <w:rFonts w:ascii="Times New Roman" w:hAnsi="Times New Roman" w:eastAsia="仿宋_GB2312" w:cs="Times New Roman"/>
          <w:sz w:val="32"/>
          <w:szCs w:val="32"/>
          <w:lang w:val="zh-CN" w:bidi="zh-CN"/>
        </w:rPr>
        <w:t>坚定不移大抓项目、快抓项目，全力推动产业发展，实现产业规模和企业效益“双增长”。</w:t>
      </w:r>
      <w:r>
        <w:rPr>
          <w:rFonts w:ascii="Times New Roman" w:hAnsi="Times New Roman" w:eastAsia="仿宋_GB2312" w:cs="Times New Roman"/>
          <w:sz w:val="32"/>
          <w:szCs w:val="32"/>
        </w:rPr>
        <w:t xml:space="preserve"> 五矿铜业二期、金紫宇新材料</w:t>
      </w:r>
      <w:r>
        <w:rPr>
          <w:rFonts w:hint="eastAsia" w:ascii="Times New Roman" w:hAnsi="Times New Roman" w:eastAsia="仿宋_GB2312" w:cs="Times New Roman"/>
          <w:sz w:val="32"/>
          <w:szCs w:val="32"/>
        </w:rPr>
        <w:t>等项目</w:t>
      </w:r>
      <w:r>
        <w:rPr>
          <w:rFonts w:ascii="Times New Roman" w:hAnsi="Times New Roman" w:eastAsia="仿宋_GB2312" w:cs="Times New Roman"/>
          <w:sz w:val="32"/>
          <w:szCs w:val="32"/>
        </w:rPr>
        <w:t>竣工投产；瑞科美新能源、金辰钽铌等项目即将建成试产；株冶二期、金翼二期、高诺二期等原地倍增项目正在加速推进；五矿铜业公司完成年度产值108亿元，成功跻身百亿俱乐部；湘南纺织基地</w:t>
      </w:r>
      <w:r>
        <w:rPr>
          <w:rFonts w:hint="eastAsia" w:ascii="Times New Roman" w:hAnsi="Times New Roman" w:eastAsia="仿宋_GB2312" w:cs="Times New Roman"/>
          <w:sz w:val="32"/>
          <w:szCs w:val="32"/>
        </w:rPr>
        <w:t>热电联产厂、污水处理厂、工业给水厂等项目全面建成运营</w:t>
      </w:r>
      <w:r>
        <w:rPr>
          <w:rFonts w:hint="eastAsia" w:ascii="Times New Roman" w:hAnsi="Times New Roman" w:eastAsia="仿宋_GB2312"/>
          <w:sz w:val="32"/>
          <w:szCs w:val="32"/>
        </w:rPr>
        <w:t>，现</w:t>
      </w:r>
      <w:r>
        <w:rPr>
          <w:rFonts w:ascii="Times New Roman" w:hAnsi="Times New Roman" w:eastAsia="仿宋_GB2312" w:cs="Times New Roman"/>
          <w:sz w:val="32"/>
          <w:szCs w:val="32"/>
        </w:rPr>
        <w:t>已实现全产业链生产。园区产业升级扩能“加速器”正迸发强劲动力，为园区经济发展注入新活力。</w:t>
      </w:r>
    </w:p>
    <w:p w14:paraId="29DDF2E2">
      <w:pPr>
        <w:widowControl w:val="0"/>
        <w:spacing w:after="0" w:line="578"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3</w:t>
      </w:r>
      <w:r>
        <w:rPr>
          <w:rFonts w:ascii="Times New Roman" w:hAnsi="Times New Roman" w:eastAsia="楷体_GB2312" w:cs="Times New Roman"/>
          <w:b/>
          <w:sz w:val="32"/>
          <w:szCs w:val="32"/>
        </w:rPr>
        <w:t>.强化要素保障，承载能力持续增强。</w:t>
      </w:r>
      <w:r>
        <w:rPr>
          <w:rFonts w:ascii="Times New Roman" w:hAnsi="Times New Roman" w:eastAsia="仿宋_GB2312" w:cs="Times New Roman"/>
          <w:sz w:val="32"/>
          <w:szCs w:val="32"/>
        </w:rPr>
        <w:t>按照“基础先行”原则，加快园区基础设施建设步伐，提升产业配套能力，满足企业发展需求。</w:t>
      </w:r>
      <w:r>
        <w:rPr>
          <w:rFonts w:ascii="Times New Roman" w:hAnsi="Times New Roman" w:eastAsia="仿宋_GB2312" w:cs="Times New Roman"/>
          <w:b/>
          <w:sz w:val="32"/>
          <w:szCs w:val="32"/>
        </w:rPr>
        <w:t>一是推进园区调区扩区。</w:t>
      </w:r>
      <w:r>
        <w:rPr>
          <w:rFonts w:ascii="Times New Roman" w:hAnsi="Times New Roman" w:eastAsia="仿宋_GB2312" w:cs="Times New Roman"/>
          <w:sz w:val="32"/>
          <w:szCs w:val="32"/>
        </w:rPr>
        <w:t>我区</w:t>
      </w:r>
      <w:r>
        <w:rPr>
          <w:rFonts w:hint="eastAsia" w:ascii="Times New Roman" w:hAnsi="Times New Roman" w:eastAsia="仿宋_GB2312" w:cs="Times New Roman"/>
          <w:sz w:val="32"/>
          <w:szCs w:val="32"/>
        </w:rPr>
        <w:t>调区扩区工作已完成</w:t>
      </w:r>
      <w:r>
        <w:rPr>
          <w:rFonts w:ascii="Times New Roman" w:hAnsi="Times New Roman" w:eastAsia="仿宋_GB2312" w:cs="Times New Roman"/>
          <w:sz w:val="32"/>
          <w:szCs w:val="32"/>
        </w:rPr>
        <w:t>，园区总面积由941.16公顷扩大至</w:t>
      </w:r>
      <w:r>
        <w:rPr>
          <w:rFonts w:hint="eastAsia" w:ascii="Times New Roman" w:hAnsi="Times New Roman" w:eastAsia="仿宋_GB2312" w:cs="Times New Roman"/>
          <w:sz w:val="32"/>
          <w:szCs w:val="32"/>
        </w:rPr>
        <w:t>1073.96</w:t>
      </w:r>
      <w:r>
        <w:rPr>
          <w:rFonts w:ascii="Times New Roman" w:hAnsi="Times New Roman" w:eastAsia="仿宋_GB2312" w:cs="Times New Roman"/>
          <w:sz w:val="32"/>
          <w:szCs w:val="32"/>
        </w:rPr>
        <w:t>公顷，为后续项目入园提供有力保障。</w:t>
      </w:r>
      <w:r>
        <w:rPr>
          <w:rFonts w:ascii="Times New Roman" w:hAnsi="Times New Roman" w:eastAsia="仿宋_GB2312" w:cs="Times New Roman"/>
          <w:b/>
          <w:sz w:val="32"/>
          <w:szCs w:val="32"/>
        </w:rPr>
        <w:t>二是推进基础设施建设。</w:t>
      </w:r>
      <w:r>
        <w:rPr>
          <w:rFonts w:hint="eastAsia" w:ascii="Times New Roman" w:hAnsi="Times New Roman" w:eastAsia="仿宋_GB2312" w:cs="Times New Roman"/>
          <w:sz w:val="32"/>
          <w:szCs w:val="32"/>
        </w:rPr>
        <w:t>完成水口山工业污水处理厂技术升级改造项目所有主体工程建设和生化线设备安装；完成双园南路约400米延伸道路建设；启动水口山消防救援站前期工作；水口山工业供水厂已完成立项、选址、设计等前期工作；我区正在与衡阳高新投对接水口山工业园新华片区开发工作。</w:t>
      </w:r>
      <w:r>
        <w:rPr>
          <w:rFonts w:ascii="Times New Roman" w:hAnsi="Times New Roman" w:eastAsia="仿宋_GB2312" w:cs="Times New Roman"/>
          <w:b/>
          <w:sz w:val="32"/>
          <w:szCs w:val="32"/>
        </w:rPr>
        <w:t>三是推进金融平台建设。</w:t>
      </w:r>
      <w:r>
        <w:rPr>
          <w:rFonts w:ascii="Times New Roman" w:hAnsi="Times New Roman" w:eastAsia="仿宋_GB2312" w:cs="Times New Roman"/>
          <w:sz w:val="32"/>
          <w:szCs w:val="32"/>
        </w:rPr>
        <w:t>充分整合政策资源、社会资源、金融资源和市场资源优势，打造产业供应链综合服务平台。目前通过常宁市中小企业政府风险补偿基金项目，银行已实现对园区12家企业融资贷款，获得银行纯信用融资贷款资金1.03亿元。</w:t>
      </w:r>
    </w:p>
    <w:p w14:paraId="2951F39C">
      <w:pPr>
        <w:widowControl w:val="0"/>
        <w:spacing w:after="0" w:line="578"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4</w:t>
      </w:r>
      <w:r>
        <w:rPr>
          <w:rFonts w:ascii="Times New Roman" w:hAnsi="Times New Roman" w:eastAsia="楷体_GB2312" w:cs="Times New Roman"/>
          <w:b/>
          <w:sz w:val="32"/>
          <w:szCs w:val="32"/>
        </w:rPr>
        <w:t>.狠抓招商引资，发展后劲蓄势增能。</w:t>
      </w:r>
      <w:r>
        <w:rPr>
          <w:rFonts w:ascii="Times New Roman" w:hAnsi="Times New Roman" w:eastAsia="仿宋_GB2312" w:cs="Times New Roman"/>
          <w:sz w:val="32"/>
          <w:szCs w:val="32"/>
        </w:rPr>
        <w:t>我区始终坚持把招商引资工作作为经济高质量发展的“主推手”</w:t>
      </w:r>
      <w:r>
        <w:rPr>
          <w:rFonts w:ascii="Times New Roman" w:hAnsi="Times New Roman" w:eastAsia="仿宋_GB2312" w:cs="Times New Roman"/>
          <w:sz w:val="32"/>
          <w:szCs w:val="32"/>
          <w:lang w:val="zh-CN" w:bidi="zh-CN"/>
        </w:rPr>
        <w:t>，瞄准有色金属和湘南纺织两大“千亿级”产业开展招商引资工作，采取“</w:t>
      </w:r>
      <w:r>
        <w:rPr>
          <w:rFonts w:ascii="Times New Roman" w:hAnsi="Times New Roman" w:eastAsia="仿宋_GB2312" w:cs="Times New Roman"/>
          <w:color w:val="000000"/>
          <w:sz w:val="32"/>
          <w:szCs w:val="32"/>
          <w:shd w:val="clear" w:color="auto" w:fill="FFFFFF"/>
        </w:rPr>
        <w:t>招商大使+招商小分队</w:t>
      </w:r>
      <w:r>
        <w:rPr>
          <w:rFonts w:ascii="Times New Roman" w:hAnsi="Times New Roman" w:eastAsia="仿宋_GB2312" w:cs="Times New Roman"/>
          <w:sz w:val="32"/>
          <w:szCs w:val="32"/>
          <w:lang w:val="zh-CN" w:bidi="zh-CN"/>
        </w:rPr>
        <w:t>”的方式</w:t>
      </w:r>
      <w:r>
        <w:rPr>
          <w:rFonts w:ascii="Times New Roman" w:hAnsi="Times New Roman" w:eastAsia="仿宋_GB2312" w:cs="Times New Roman"/>
          <w:color w:val="000000"/>
          <w:sz w:val="32"/>
          <w:szCs w:val="32"/>
          <w:shd w:val="clear" w:color="auto" w:fill="FFFFFF"/>
        </w:rPr>
        <w:t>全面推进重点区域“驻点招商”、产业链条“靶向招商”、目标企业“敲门招商”。</w:t>
      </w:r>
      <w:r>
        <w:rPr>
          <w:rFonts w:ascii="Times New Roman" w:hAnsi="Times New Roman" w:eastAsia="仿宋_GB2312" w:cs="Times New Roman"/>
          <w:b/>
          <w:color w:val="000000"/>
          <w:sz w:val="32"/>
          <w:szCs w:val="32"/>
          <w:shd w:val="clear" w:color="auto" w:fill="FFFFFF"/>
        </w:rPr>
        <w:t>有色产业</w:t>
      </w:r>
      <w:r>
        <w:rPr>
          <w:rFonts w:hint="eastAsia" w:ascii="Times New Roman" w:hAnsi="Times New Roman" w:eastAsia="仿宋_GB2312" w:cs="Times New Roman"/>
          <w:b/>
          <w:color w:val="000000"/>
          <w:sz w:val="32"/>
          <w:szCs w:val="32"/>
          <w:shd w:val="clear" w:color="auto" w:fill="FFFFFF"/>
        </w:rPr>
        <w:t>方面，</w:t>
      </w:r>
      <w:r>
        <w:rPr>
          <w:rFonts w:ascii="Times New Roman" w:hAnsi="Times New Roman" w:eastAsia="仿宋_GB2312" w:cs="Times New Roman"/>
          <w:color w:val="000000"/>
          <w:sz w:val="32"/>
          <w:szCs w:val="32"/>
          <w:shd w:val="clear" w:color="auto" w:fill="FFFFFF"/>
        </w:rPr>
        <w:t>引进广东嘉元科技股份有限公司精铜项目</w:t>
      </w:r>
      <w:r>
        <w:rPr>
          <w:rFonts w:hint="eastAsia" w:ascii="Times New Roman" w:hAnsi="Times New Roman" w:eastAsia="仿宋_GB2312" w:cs="Times New Roman"/>
          <w:color w:val="000000"/>
          <w:sz w:val="32"/>
          <w:szCs w:val="32"/>
          <w:shd w:val="clear" w:color="auto" w:fill="FFFFFF"/>
        </w:rPr>
        <w:t>；引进中化学南方建设投资有限公司与湖南高诺产业集团建设高诺（衡阳）产业园EPC项目，项目年产22万吨高导高精铜杆及6万吨精密铜线，</w:t>
      </w:r>
      <w:r>
        <w:rPr>
          <w:rFonts w:ascii="Times New Roman" w:hAnsi="Times New Roman" w:eastAsia="仿宋_GB2312" w:cs="Times New Roman"/>
          <w:snapToGrid w:val="0"/>
          <w:color w:val="000000"/>
          <w:sz w:val="32"/>
          <w:szCs w:val="32"/>
        </w:rPr>
        <w:t>有效补齐了我区在铜压延产业方面的短板</w:t>
      </w:r>
      <w:r>
        <w:rPr>
          <w:rFonts w:hint="eastAsia" w:ascii="Times New Roman" w:hAnsi="Times New Roman" w:eastAsia="仿宋_GB2312" w:cs="Times New Roman"/>
          <w:snapToGrid w:val="0"/>
          <w:color w:val="000000"/>
          <w:sz w:val="32"/>
          <w:szCs w:val="32"/>
        </w:rPr>
        <w:t>。引进</w:t>
      </w:r>
      <w:r>
        <w:rPr>
          <w:rFonts w:ascii="Times New Roman" w:hAnsi="Times New Roman" w:eastAsia="仿宋_GB2312" w:cs="Times New Roman"/>
          <w:snapToGrid w:val="0"/>
          <w:color w:val="000000"/>
          <w:sz w:val="32"/>
          <w:szCs w:val="32"/>
        </w:rPr>
        <w:t>广东韶能集团股份有限公司热电联产项目</w:t>
      </w:r>
      <w:r>
        <w:rPr>
          <w:rFonts w:hint="eastAsia" w:ascii="Times New Roman" w:hAnsi="Times New Roman" w:eastAsia="仿宋_GB2312" w:cs="Times New Roman"/>
          <w:snapToGrid w:val="0"/>
          <w:color w:val="000000"/>
          <w:sz w:val="32"/>
          <w:szCs w:val="32"/>
        </w:rPr>
        <w:t>，目前已经签订招商合作协议</w:t>
      </w:r>
      <w:r>
        <w:rPr>
          <w:rFonts w:ascii="Times New Roman" w:hAnsi="Times New Roman" w:eastAsia="仿宋_GB2312" w:cs="Times New Roman"/>
          <w:snapToGrid w:val="0"/>
          <w:color w:val="000000"/>
          <w:sz w:val="32"/>
          <w:szCs w:val="32"/>
        </w:rPr>
        <w:t>。</w:t>
      </w:r>
      <w:r>
        <w:rPr>
          <w:rFonts w:ascii="Times New Roman" w:hAnsi="Times New Roman" w:eastAsia="仿宋_GB2312" w:cs="Times New Roman"/>
          <w:b/>
          <w:sz w:val="32"/>
          <w:szCs w:val="32"/>
        </w:rPr>
        <w:t>纺织产业方面，</w:t>
      </w:r>
      <w:r>
        <w:rPr>
          <w:rFonts w:hint="eastAsia" w:ascii="Times New Roman" w:hAnsi="Times New Roman" w:eastAsia="仿宋_GB2312"/>
          <w:snapToGrid w:val="0"/>
          <w:color w:val="000000"/>
          <w:sz w:val="32"/>
          <w:szCs w:val="32"/>
        </w:rPr>
        <w:t>积极与上市和行业龙头企业进行接洽，正在全力推动广东东莞喜宝科技有限公司的安踏成品鞋生产项目、湖南铭</w:t>
      </w:r>
      <w:r>
        <w:rPr>
          <w:rFonts w:hint="eastAsia" w:asciiTheme="minorEastAsia" w:hAnsiTheme="minorEastAsia" w:eastAsiaTheme="minorEastAsia"/>
          <w:snapToGrid w:val="0"/>
          <w:color w:val="000000"/>
          <w:sz w:val="32"/>
          <w:szCs w:val="32"/>
        </w:rPr>
        <w:t>昇</w:t>
      </w:r>
      <w:r>
        <w:rPr>
          <w:rFonts w:hint="eastAsia" w:ascii="Times New Roman" w:hAnsi="Times New Roman" w:eastAsia="仿宋_GB2312"/>
          <w:snapToGrid w:val="0"/>
          <w:color w:val="000000"/>
          <w:sz w:val="32"/>
          <w:szCs w:val="32"/>
        </w:rPr>
        <w:t>科技有限公司农业环保项目、北京世纪沃康农林科技有限公司油茶等项目落地。</w:t>
      </w:r>
      <w:r>
        <w:rPr>
          <w:rFonts w:ascii="Times New Roman" w:hAnsi="Times New Roman" w:eastAsia="仿宋_GB2312" w:cs="Times New Roman"/>
          <w:snapToGrid w:val="0"/>
          <w:color w:val="000000"/>
          <w:sz w:val="32"/>
          <w:szCs w:val="32"/>
        </w:rPr>
        <w:t>目前，湘南纺织产业基地一期正式签约企业已达32家。</w:t>
      </w:r>
    </w:p>
    <w:p w14:paraId="102E0E49">
      <w:pPr>
        <w:widowControl w:val="0"/>
        <w:spacing w:after="0" w:line="578"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5</w:t>
      </w:r>
      <w:r>
        <w:rPr>
          <w:rFonts w:ascii="Times New Roman" w:hAnsi="Times New Roman" w:eastAsia="楷体_GB2312" w:cs="Times New Roman"/>
          <w:b/>
          <w:sz w:val="32"/>
          <w:szCs w:val="32"/>
        </w:rPr>
        <w:t>.优化营商环境，服务效能全面提升。</w:t>
      </w:r>
      <w:r>
        <w:rPr>
          <w:rFonts w:ascii="Times New Roman" w:hAnsi="Times New Roman" w:eastAsia="仿宋_GB2312" w:cs="Times New Roman"/>
          <w:snapToGrid w:val="0"/>
          <w:color w:val="000000"/>
          <w:sz w:val="32"/>
          <w:szCs w:val="32"/>
        </w:rPr>
        <w:t>我区全面贯彻落实</w:t>
      </w:r>
      <w:r>
        <w:rPr>
          <w:rFonts w:ascii="Times New Roman" w:hAnsi="Times New Roman" w:eastAsia="仿宋_GB2312" w:cs="Times New Roman"/>
          <w:sz w:val="32"/>
          <w:szCs w:val="32"/>
        </w:rPr>
        <w:t>常宁市优化营商环境大会精神，以常宁“136”营商环境机制系列文件、优化营商环境六条断然措施为行动指南，积极开展“学干比严”和“最是乡音解乡愁民情大走访”专题活动，</w:t>
      </w:r>
      <w:r>
        <w:rPr>
          <w:rFonts w:hint="eastAsia" w:ascii="Times New Roman" w:hAnsi="Times New Roman" w:eastAsia="仿宋_GB2312" w:cs="Times New Roman"/>
          <w:sz w:val="32"/>
          <w:szCs w:val="32"/>
        </w:rPr>
        <w:t>着力打造一流的营商环境</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一是创新政务服务模式。</w:t>
      </w:r>
      <w:r>
        <w:rPr>
          <w:rFonts w:ascii="Times New Roman" w:hAnsi="Times New Roman" w:eastAsia="仿宋_GB2312" w:cs="Times New Roman"/>
          <w:sz w:val="32"/>
          <w:szCs w:val="32"/>
        </w:rPr>
        <w:t>落实省编委工作要求，将园区政务大厅撤销，按照“小空间办大事”，不搞“高大上”的原则，精简政务服务工作人员，仅在内设机构开发建设局腾出一间约10平方的办公室设立审批端口为企业办理直接赋权事项，有效降低行政成本。同时，园区着力优化企业办理相关手续的流程，简化审批程序，提高办事效率，为企业提供更加便捷高效的政务服务。</w:t>
      </w:r>
      <w:r>
        <w:rPr>
          <w:rFonts w:ascii="Times New Roman" w:hAnsi="Times New Roman" w:eastAsia="仿宋_GB2312" w:cs="Times New Roman"/>
          <w:b/>
          <w:sz w:val="32"/>
          <w:szCs w:val="32"/>
        </w:rPr>
        <w:t>二是推行“联企服务专员”工作制度。</w:t>
      </w:r>
      <w:r>
        <w:rPr>
          <w:rFonts w:ascii="Times New Roman" w:hAnsi="Times New Roman" w:eastAsia="仿宋_GB2312" w:cs="Times New Roman"/>
          <w:sz w:val="32"/>
          <w:szCs w:val="32"/>
        </w:rPr>
        <w:t>由41名工作人员组成服务专员分派至园区71家企业开展无死角为企服务，负责企业除生产经营以外所有事务的代办、咨询、协调、统筹，并做好上级政策宣传，指导企业按照法律法规要求规范生产活动，突出做好安全生产、生态环保工作的指导和服务</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shd w:val="clear" w:color="auto" w:fill="FFFFFF"/>
        </w:rPr>
        <w:t>为企业发展和项目建设“保驾护航”。</w:t>
      </w:r>
      <w:r>
        <w:rPr>
          <w:rFonts w:ascii="Times New Roman" w:hAnsi="Times New Roman" w:eastAsia="仿宋_GB2312" w:cs="Times New Roman"/>
          <w:b/>
          <w:sz w:val="32"/>
          <w:szCs w:val="32"/>
        </w:rPr>
        <w:t>三是抓好企业问题办理。</w:t>
      </w:r>
      <w:r>
        <w:rPr>
          <w:rFonts w:ascii="Times New Roman" w:hAnsi="Times New Roman" w:eastAsia="仿宋_GB2312" w:cs="Times New Roman"/>
          <w:sz w:val="32"/>
          <w:szCs w:val="32"/>
        </w:rPr>
        <w:t>园区每月至少举行一次“企业家接待日”主题活动，由党工委书记及管委会主任集中接待和听取企业诉求，解决企业发展和建设过程中遇到的困难和问题。针对企业提出的问题，园区建立闭环管理机制，将企业反映的问题登记在册，明确问题来源、主要内容、责任部门、办结时限和办理情况，并强化登记在册问题的跟踪调度，得到企业的一致好评。</w:t>
      </w:r>
    </w:p>
    <w:p w14:paraId="29032AD5">
      <w:pPr>
        <w:widowControl w:val="0"/>
        <w:spacing w:after="0" w:line="578" w:lineRule="exact"/>
        <w:ind w:firstLine="643"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楷体_GB2312" w:cs="Times New Roman"/>
          <w:b/>
          <w:sz w:val="32"/>
          <w:szCs w:val="32"/>
        </w:rPr>
        <w:t>6</w:t>
      </w:r>
      <w:r>
        <w:rPr>
          <w:rFonts w:ascii="Times New Roman" w:hAnsi="Times New Roman" w:eastAsia="楷体_GB2312" w:cs="Times New Roman"/>
          <w:b/>
          <w:sz w:val="32"/>
          <w:szCs w:val="32"/>
        </w:rPr>
        <w:t>.深化园区改革</w:t>
      </w:r>
      <w:r>
        <w:rPr>
          <w:rFonts w:ascii="Times New Roman" w:hAnsi="Times New Roman" w:eastAsia="楷体_GB2312" w:cs="Times New Roman"/>
          <w:b/>
          <w:bCs/>
          <w:sz w:val="32"/>
          <w:szCs w:val="32"/>
        </w:rPr>
        <w:t>，体制机制更加顺畅。</w:t>
      </w:r>
      <w:r>
        <w:rPr>
          <w:rFonts w:ascii="Times New Roman" w:hAnsi="Times New Roman" w:eastAsia="仿宋_GB2312" w:cs="Times New Roman"/>
          <w:sz w:val="32"/>
          <w:szCs w:val="32"/>
        </w:rPr>
        <w:t>我区深入贯彻落实衡阳市对园区管理机制改革的工作部署，大胆推进园区管理体制改革，不断激发园区发展活力。</w:t>
      </w:r>
      <w:r>
        <w:rPr>
          <w:rFonts w:ascii="Times New Roman" w:hAnsi="Times New Roman" w:eastAsia="仿宋_GB2312" w:cs="Times New Roman"/>
          <w:b/>
          <w:kern w:val="2"/>
          <w:sz w:val="32"/>
          <w:szCs w:val="32"/>
        </w:rPr>
        <w:t>一是完成社会事务管理职能剥离。</w:t>
      </w:r>
      <w:r>
        <w:rPr>
          <w:rFonts w:ascii="Times New Roman" w:hAnsi="Times New Roman" w:eastAsia="仿宋_GB2312" w:cs="Times New Roman"/>
          <w:sz w:val="32"/>
          <w:szCs w:val="32"/>
        </w:rPr>
        <w:t>按照省编委关于剥离园区社会事务管理职能试点工作要求，我市出台了《湖南常宁水口山经开区剥离社会事务管理职能工作方案》，我们重点围绕职能剥离、机构优化和人员精简三个方面抓好改革工作，推动园区进一步聚焦主责主业，激活园区高质量发展内生动力。我区已于今年3月份全面完成了剥离任务，改革创新经验在《“五好”园区建设双月通报专刊》2024年第2期中刊登推介。</w:t>
      </w:r>
      <w:r>
        <w:rPr>
          <w:rFonts w:ascii="Times New Roman" w:hAnsi="Times New Roman" w:eastAsia="仿宋_GB2312" w:cs="Times New Roman"/>
          <w:b/>
          <w:kern w:val="2"/>
          <w:sz w:val="32"/>
          <w:szCs w:val="32"/>
        </w:rPr>
        <w:t>二是推进平台公司市场化运作。</w:t>
      </w:r>
      <w:r>
        <w:rPr>
          <w:rFonts w:ascii="Times New Roman" w:hAnsi="Times New Roman" w:eastAsia="仿宋_GB2312" w:cs="Times New Roman"/>
          <w:sz w:val="32"/>
          <w:szCs w:val="32"/>
        </w:rPr>
        <w:t>按照“管委会+”的管理模式及“政企分开、政资分开”的原则，将开发建设运营等“可市场化”的职能交由了湖南水口山投资控股集团有限公司承担。水口山工业污水处理厂等3家污水处理厂已移交水口山投经营管理。</w:t>
      </w:r>
      <w:r>
        <w:rPr>
          <w:rFonts w:ascii="Times New Roman" w:hAnsi="Times New Roman" w:eastAsia="仿宋_GB2312" w:cs="Times New Roman"/>
          <w:b/>
          <w:kern w:val="2"/>
          <w:sz w:val="32"/>
          <w:szCs w:val="32"/>
        </w:rPr>
        <w:t>三是加快园区财政体制改革。</w:t>
      </w:r>
      <w:r>
        <w:rPr>
          <w:rFonts w:ascii="Times New Roman" w:hAnsi="Times New Roman" w:eastAsia="仿宋_GB2312" w:cs="Times New Roman"/>
          <w:color w:val="000000" w:themeColor="text1"/>
          <w:sz w:val="32"/>
          <w:szCs w:val="32"/>
          <w14:textFill>
            <w14:solidFill>
              <w14:schemeClr w14:val="tx1"/>
            </w14:solidFill>
          </w14:textFill>
        </w:rPr>
        <w:t>常宁市委、市政府出台的</w:t>
      </w:r>
      <w:r>
        <w:rPr>
          <w:rFonts w:ascii="Times New Roman" w:hAnsi="Times New Roman" w:eastAsia="仿宋_GB2312" w:cs="Times New Roman"/>
          <w:sz w:val="32"/>
          <w:szCs w:val="32"/>
        </w:rPr>
        <w:t>《关于深化湖南常宁水口山经济开发区体制机制改革创建“五好”园区的实施方案》</w:t>
      </w:r>
      <w:r>
        <w:rPr>
          <w:rFonts w:ascii="Times New Roman" w:hAnsi="Times New Roman" w:eastAsia="仿宋_GB2312" w:cs="Times New Roman"/>
          <w:color w:val="000000" w:themeColor="text1"/>
          <w:sz w:val="32"/>
          <w:szCs w:val="32"/>
          <w14:textFill>
            <w14:solidFill>
              <w14:schemeClr w14:val="tx1"/>
            </w14:solidFill>
          </w14:textFill>
        </w:rPr>
        <w:t>已批准我区建立独立财政核算体制，设立一级金库。目前，我区已制定了《湖南常宁水口山经济开发区财政体制改革实施方案（试行）》，正在上级人民银行办理相关审批手续。</w:t>
      </w:r>
    </w:p>
    <w:p w14:paraId="64684A26">
      <w:pPr>
        <w:widowControl w:val="0"/>
        <w:spacing w:after="0" w:line="578"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7</w:t>
      </w:r>
      <w:r>
        <w:rPr>
          <w:rFonts w:ascii="Times New Roman" w:hAnsi="Times New Roman" w:eastAsia="楷体_GB2312" w:cs="Times New Roman"/>
          <w:b/>
          <w:sz w:val="32"/>
          <w:szCs w:val="32"/>
        </w:rPr>
        <w:t>.加强政治建设，党建基础不断夯实。</w:t>
      </w:r>
      <w:r>
        <w:rPr>
          <w:rFonts w:ascii="Times New Roman" w:hAnsi="Times New Roman" w:eastAsia="仿宋_GB2312" w:cs="Times New Roman"/>
          <w:sz w:val="32"/>
          <w:szCs w:val="32"/>
        </w:rPr>
        <w:t>党工委始终突出以党建工作引领园区发展，履行全面从严治党管党主体责任。</w:t>
      </w:r>
      <w:r>
        <w:rPr>
          <w:rFonts w:ascii="Times New Roman" w:hAnsi="Times New Roman" w:eastAsia="仿宋_GB2312" w:cs="Times New Roman"/>
          <w:b/>
          <w:sz w:val="32"/>
          <w:szCs w:val="32"/>
        </w:rPr>
        <w:t>一是始终把党的政治建设摆在首要位置。</w:t>
      </w:r>
      <w:r>
        <w:rPr>
          <w:rFonts w:ascii="Times New Roman" w:hAnsi="Times New Roman" w:eastAsia="仿宋_GB2312" w:cs="Times New Roman"/>
          <w:sz w:val="32"/>
          <w:szCs w:val="32"/>
        </w:rPr>
        <w:t>严格落实“第一议题”学习制度，扎实开展主题教育，认真贯彻落实党的二十大和党的二十届三中全会精神以及</w:t>
      </w:r>
      <w:r>
        <w:rPr>
          <w:rFonts w:ascii="Times New Roman" w:hAnsi="Times New Roman" w:eastAsia="仿宋_GB2312" w:cs="Times New Roman"/>
          <w:kern w:val="2"/>
          <w:sz w:val="32"/>
          <w:szCs w:val="32"/>
        </w:rPr>
        <w:t>习近平总书记考察湖南重要讲话和指示精神，</w:t>
      </w:r>
      <w:r>
        <w:rPr>
          <w:rFonts w:ascii="Times New Roman" w:hAnsi="Times New Roman" w:eastAsia="仿宋_GB2312" w:cs="Times New Roman"/>
          <w:sz w:val="32"/>
          <w:szCs w:val="32"/>
        </w:rPr>
        <w:t>开展党工委理论学习中心组学习15次，确保“两个维护”落到实处。</w:t>
      </w:r>
      <w:r>
        <w:rPr>
          <w:rFonts w:ascii="Times New Roman" w:hAnsi="Times New Roman" w:eastAsia="仿宋_GB2312" w:cs="Times New Roman"/>
          <w:b/>
          <w:kern w:val="2"/>
          <w:sz w:val="32"/>
          <w:szCs w:val="32"/>
        </w:rPr>
        <w:t>二是坚持纵深</w:t>
      </w:r>
      <w:r>
        <w:rPr>
          <w:rFonts w:ascii="Times New Roman" w:hAnsi="Times New Roman" w:eastAsia="仿宋_GB2312" w:cs="Times New Roman"/>
          <w:b/>
          <w:sz w:val="32"/>
          <w:szCs w:val="32"/>
        </w:rPr>
        <w:t>推进全面从严治党。</w:t>
      </w:r>
      <w:r>
        <w:rPr>
          <w:rFonts w:ascii="Times New Roman" w:hAnsi="Times New Roman" w:eastAsia="仿宋_GB2312" w:cs="Times New Roman"/>
          <w:kern w:val="2"/>
          <w:sz w:val="32"/>
          <w:szCs w:val="32"/>
        </w:rPr>
        <w:t>扎实推进“以案促改、以案促治、以案促建”， 组织全体党员干部观看宁远工业园系列腐败案警示教育片，学习永兴经开区“四严”机制先进经验，以镜为鉴开展主题教育，持续稳固风清气正的政治生态。</w:t>
      </w:r>
      <w:r>
        <w:rPr>
          <w:rFonts w:ascii="Times New Roman" w:hAnsi="Times New Roman" w:eastAsia="仿宋_GB2312" w:cs="Times New Roman"/>
          <w:b/>
          <w:kern w:val="2"/>
          <w:sz w:val="32"/>
          <w:szCs w:val="32"/>
        </w:rPr>
        <w:t>三是</w:t>
      </w:r>
      <w:r>
        <w:rPr>
          <w:rFonts w:hint="eastAsia" w:ascii="Times New Roman" w:hAnsi="Times New Roman" w:eastAsia="仿宋_GB2312" w:cs="Times New Roman"/>
          <w:b/>
          <w:kern w:val="2"/>
          <w:sz w:val="32"/>
          <w:szCs w:val="32"/>
        </w:rPr>
        <w:t>切实履行意识形态工作责任制。</w:t>
      </w:r>
      <w:r>
        <w:rPr>
          <w:rFonts w:hint="eastAsia" w:ascii="Times New Roman" w:hAnsi="Times New Roman" w:eastAsia="仿宋_GB2312" w:cs="Times New Roman"/>
          <w:kern w:val="2"/>
          <w:sz w:val="32"/>
          <w:szCs w:val="32"/>
        </w:rPr>
        <w:t>定期召开意识形态专题会议，分析研判意识形态领域情况，全面落实意识形态工作责任制，按照“一岗双责”的要求，围绕中心、抓好结合，切实将意识形态工作抓实抓细抓到位。</w:t>
      </w:r>
      <w:r>
        <w:rPr>
          <w:rFonts w:hint="eastAsia" w:ascii="Times New Roman" w:hAnsi="Times New Roman" w:eastAsia="仿宋_GB2312" w:cs="Times New Roman"/>
          <w:b/>
          <w:kern w:val="2"/>
          <w:sz w:val="32"/>
          <w:szCs w:val="32"/>
        </w:rPr>
        <w:t>四是</w:t>
      </w:r>
      <w:r>
        <w:rPr>
          <w:rFonts w:ascii="Times New Roman" w:hAnsi="Times New Roman" w:eastAsia="仿宋_GB2312" w:cs="Times New Roman"/>
          <w:b/>
          <w:kern w:val="2"/>
          <w:sz w:val="32"/>
          <w:szCs w:val="32"/>
        </w:rPr>
        <w:t>全面抓好巡察反馈问题整改。</w:t>
      </w:r>
      <w:r>
        <w:rPr>
          <w:rFonts w:ascii="Times New Roman" w:hAnsi="Times New Roman" w:eastAsia="仿宋_GB2312" w:cs="Times New Roman"/>
          <w:kern w:val="2"/>
          <w:sz w:val="32"/>
          <w:szCs w:val="32"/>
        </w:rPr>
        <w:t>党工委坚持把</w:t>
      </w:r>
      <w:r>
        <w:rPr>
          <w:rFonts w:hint="eastAsia" w:ascii="Times New Roman" w:hAnsi="Times New Roman" w:eastAsia="仿宋_GB2312" w:cs="Times New Roman"/>
          <w:kern w:val="2"/>
          <w:sz w:val="32"/>
          <w:szCs w:val="32"/>
        </w:rPr>
        <w:t>巡察反馈问题整改</w:t>
      </w:r>
      <w:r>
        <w:rPr>
          <w:rFonts w:ascii="Times New Roman" w:hAnsi="Times New Roman" w:eastAsia="仿宋_GB2312" w:cs="Times New Roman"/>
          <w:kern w:val="2"/>
          <w:sz w:val="32"/>
          <w:szCs w:val="32"/>
        </w:rPr>
        <w:t>作为</w:t>
      </w:r>
      <w:r>
        <w:rPr>
          <w:rFonts w:hint="eastAsia" w:ascii="Times New Roman" w:hAnsi="Times New Roman" w:eastAsia="仿宋_GB2312" w:cs="Times New Roman"/>
          <w:kern w:val="2"/>
          <w:sz w:val="32"/>
          <w:szCs w:val="32"/>
        </w:rPr>
        <w:t>一项</w:t>
      </w:r>
      <w:r>
        <w:rPr>
          <w:rFonts w:ascii="Times New Roman" w:hAnsi="Times New Roman" w:eastAsia="仿宋_GB2312" w:cs="Times New Roman"/>
          <w:kern w:val="2"/>
          <w:sz w:val="32"/>
          <w:szCs w:val="32"/>
        </w:rPr>
        <w:t>政治任务完成，衡阳市委第三巡察组向我区反馈的65个问题，已全部完成整改62个，长期整改</w:t>
      </w:r>
      <w:r>
        <w:rPr>
          <w:rFonts w:ascii="Times New Roman" w:hAnsi="Times New Roman" w:eastAsia="仿宋_GB2312" w:cs="Times New Roman"/>
          <w:sz w:val="32"/>
          <w:szCs w:val="32"/>
        </w:rPr>
        <w:t>取得阶段性成效3个，顺利通过十二届衡阳市委第五轮巡察整改评估，并得到了衡阳市纪委的高度认可。通过抓好问题整改有效推动园区高质量发展。</w:t>
      </w:r>
    </w:p>
    <w:p w14:paraId="40CA77A3">
      <w:pPr>
        <w:overflowPunct w:val="0"/>
        <w:spacing w:line="560" w:lineRule="exact"/>
        <w:ind w:firstLine="1060" w:firstLineChars="330"/>
        <w:rPr>
          <w:rFonts w:hint="eastAsia" w:ascii="Times New Roman" w:hAnsi="Times New Roman" w:eastAsia="仿宋_GB2312" w:cs="Times New Roman"/>
          <w:kern w:val="2"/>
          <w:sz w:val="32"/>
          <w:szCs w:val="32"/>
          <w:lang w:val="en-US" w:eastAsia="zh-CN"/>
        </w:rPr>
      </w:pPr>
      <w:r>
        <w:rPr>
          <w:rFonts w:hint="eastAsia" w:ascii="Times New Roman" w:hAnsi="Times New Roman" w:eastAsia="楷体_GB2312" w:cs="Times New Roman"/>
          <w:b/>
          <w:sz w:val="32"/>
          <w:szCs w:val="32"/>
        </w:rPr>
        <w:t>8</w:t>
      </w:r>
      <w:r>
        <w:rPr>
          <w:rFonts w:ascii="Times New Roman" w:hAnsi="Times New Roman" w:eastAsia="楷体_GB2312" w:cs="Times New Roman"/>
          <w:b/>
          <w:sz w:val="32"/>
          <w:szCs w:val="32"/>
        </w:rPr>
        <w:t>.抓实底线工作，整体形势稳定向好。</w:t>
      </w:r>
      <w:r>
        <w:rPr>
          <w:rFonts w:ascii="Times New Roman" w:hAnsi="Times New Roman" w:eastAsia="仿宋_GB2312" w:cs="Times New Roman"/>
          <w:sz w:val="32"/>
          <w:szCs w:val="32"/>
        </w:rPr>
        <w:t>抓好抓实底线工作，打造良好的企业发展环境。</w:t>
      </w:r>
      <w:r>
        <w:rPr>
          <w:rFonts w:ascii="Times New Roman" w:hAnsi="Times New Roman" w:eastAsia="仿宋_GB2312" w:cs="Times New Roman"/>
          <w:b/>
          <w:sz w:val="32"/>
          <w:szCs w:val="32"/>
        </w:rPr>
        <w:t>一是安全生产监管有力。</w:t>
      </w:r>
      <w:r>
        <w:rPr>
          <w:rFonts w:hint="eastAsia" w:ascii="Times New Roman" w:hAnsi="Times New Roman" w:eastAsia="仿宋_GB2312" w:cs="Times New Roman"/>
          <w:sz w:val="32"/>
          <w:szCs w:val="32"/>
        </w:rPr>
        <w:t>始终把防范遏制生产事故作为园区首要任务，压紧压实安全生产责任，实行“安全链长”负责制，派驻联企服务专员，落实各环节安全管理措施、履行日常监管职责；组织召开全区安全警示教育培训会暨安全防范部署会，集中观看安全生产警示片，以案为鉴，进一步提高园区企业安全风险防范意识和防控能力；强力推进问题隐患整改，今年以来，园区督查企业发现安全问题隐患365处，到期整改343处，整改率93.9%，其中重大事故隐患7处，整改率100%；督促企业自查自改安全问题隐患4497处；组织企业交叉互检发现问题隐患261处，整改率100%；曝光突出问题隐患35个。</w:t>
      </w:r>
      <w:r>
        <w:rPr>
          <w:rFonts w:ascii="Times New Roman" w:hAnsi="Times New Roman" w:eastAsia="仿宋_GB2312" w:cs="Times New Roman"/>
          <w:b/>
          <w:sz w:val="32"/>
          <w:szCs w:val="32"/>
        </w:rPr>
        <w:t>二是环境保护从严从实。</w:t>
      </w:r>
      <w:r>
        <w:rPr>
          <w:rFonts w:ascii="Times New Roman" w:hAnsi="Times New Roman" w:eastAsia="仿宋_GB2312" w:cs="Times New Roman"/>
          <w:sz w:val="32"/>
          <w:szCs w:val="32"/>
        </w:rPr>
        <w:t>紧紧围绕“废气”、“废水”、“固废”重点治理，坚持“三废排放达标”的原则，通过强化环保意识、完善环保设施、定期巡查监督等一系列举措，降低企业环境风险，提升园区环境质量，着力打造环保绿色园区。</w:t>
      </w:r>
      <w:r>
        <w:rPr>
          <w:rFonts w:hint="eastAsia" w:ascii="Times New Roman" w:hAnsi="Times New Roman" w:eastAsia="仿宋_GB2312" w:cs="Times New Roman"/>
          <w:sz w:val="32"/>
          <w:szCs w:val="32"/>
        </w:rPr>
        <w:t>园区组织开展企业排查125次，下发整改通知书12份，并对园区管网、雨水排口等园区公共区域生态环境隐患开展了全面排查；及时完成中央、省、市督（交）办突出环境问题和群众投诉问题17个；有序推进冶金路北侧污染地块应急管控项目、水口山永红排污口整治工程、地表水康家溪曾家溪水质检测站及小微空气监测站和智慧管控平台改造等项目。</w:t>
      </w:r>
      <w:r>
        <w:rPr>
          <w:rFonts w:hint="eastAsia" w:ascii="Times New Roman" w:hAnsi="Times New Roman" w:eastAsia="仿宋_GB2312" w:cs="Times New Roman"/>
          <w:b/>
          <w:sz w:val="32"/>
          <w:szCs w:val="32"/>
        </w:rPr>
        <w:t>三是综合治理走向深入。</w:t>
      </w:r>
      <w:r>
        <w:rPr>
          <w:rFonts w:hint="eastAsia" w:ascii="Times New Roman" w:hAnsi="Times New Roman" w:eastAsia="仿宋_GB2312" w:cs="Times New Roman"/>
          <w:sz w:val="32"/>
          <w:szCs w:val="32"/>
        </w:rPr>
        <w:t>成立工作专班，积极做好重点领域信访突出问题专项治理工作，深入开展常态化排查，做好稳控措施。会同水口山镇、水口山派出所等部门协调化解企业各类纠纷32起，今</w:t>
      </w:r>
      <w:r>
        <w:rPr>
          <w:rFonts w:ascii="Times New Roman" w:hAnsi="Times New Roman" w:eastAsia="仿宋_GB2312" w:cs="Times New Roman"/>
          <w:sz w:val="32"/>
          <w:szCs w:val="32"/>
        </w:rPr>
        <w:t>年我区办理国务院“互联网+督查”平台留言事项的交办件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国家信访局交办件1件，</w:t>
      </w:r>
      <w:r>
        <w:rPr>
          <w:rFonts w:ascii="Times New Roman" w:hAnsi="Times New Roman" w:eastAsia="仿宋_GB2312" w:cs="Times New Roman"/>
          <w:sz w:val="32"/>
          <w:szCs w:val="32"/>
        </w:rPr>
        <w:t>常宁市领导批示件1件，常宁市信访局交办件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件，回复处理政府“12345”热线工单</w:t>
      </w:r>
      <w:r>
        <w:rPr>
          <w:rFonts w:hint="eastAsia" w:ascii="Times New Roman" w:hAnsi="Times New Roman" w:eastAsia="仿宋_GB2312" w:cs="Times New Roman"/>
          <w:sz w:val="32"/>
          <w:szCs w:val="32"/>
        </w:rPr>
        <w:t>57</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通过倾听群众诉求，解决群众难题，有效维护了社会的和谐稳定。</w:t>
      </w:r>
    </w:p>
    <w:p w14:paraId="0CDFD2D0">
      <w:pPr>
        <w:overflowPunct w:val="0"/>
        <w:spacing w:line="560" w:lineRule="exact"/>
        <w:ind w:firstLine="1056" w:firstLineChars="330"/>
        <w:rPr>
          <w:rFonts w:ascii="Times New Roman" w:hAnsi="Times New Roman" w:eastAsia="仿宋_GB2312" w:cs="Times New Roman"/>
          <w:color w:val="000000"/>
          <w:sz w:val="32"/>
          <w:szCs w:val="32"/>
        </w:rPr>
      </w:pPr>
    </w:p>
    <w:p w14:paraId="5B4BC9C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2075154A">
      <w:pPr>
        <w:pStyle w:val="9"/>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9"/>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34FEC9B9">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4C865144">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572AE5F9">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E09007F"/>
    <w:rsid w:val="0F211F00"/>
    <w:rsid w:val="147224C0"/>
    <w:rsid w:val="17B42F96"/>
    <w:rsid w:val="291856B6"/>
    <w:rsid w:val="2D6B5C4A"/>
    <w:rsid w:val="34E25B04"/>
    <w:rsid w:val="482A388D"/>
    <w:rsid w:val="4F545641"/>
    <w:rsid w:val="51C4585C"/>
    <w:rsid w:val="6C1672C1"/>
    <w:rsid w:val="70FA5DFE"/>
    <w:rsid w:val="741144D9"/>
    <w:rsid w:val="76CD220E"/>
    <w:rsid w:val="7C18546B"/>
    <w:rsid w:val="7C48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Calibri"/>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5431</Words>
  <Characters>5819</Characters>
  <Lines>16</Lines>
  <Paragraphs>4</Paragraphs>
  <TotalTime>0</TotalTime>
  <ScaleCrop>false</ScaleCrop>
  <LinksUpToDate>false</LinksUpToDate>
  <CharactersWithSpaces>5842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曾正阳</cp:lastModifiedBy>
  <dcterms:modified xsi:type="dcterms:W3CDTF">2025-08-28T04:07:49Z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eyJoZGlkIjoiNmMwZGY3ZjQ1ZDg3OGJjNDZlYmIyMDQ2ZTAzNDRkMzAiLCJ1c2VySWQiOiIyNTUwODQ4NjMifQ==</vt:lpwstr>
  </property>
  <property fmtid="{D5CDD505-2E9C-101B-9397-08002B2CF9AE}" pid="3" name="KSOProductBuildVer">
    <vt:lpwstr>2052-12.1.0.20784</vt:lpwstr>
  </property>
  <property fmtid="{D5CDD505-2E9C-101B-9397-08002B2CF9AE}" pid="4" name="ICV">
    <vt:lpwstr>DCE81FFFAEAF4182ABE81A8C7C5CF76D_12</vt:lpwstr>
  </property>
</Properties>
</file>