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2BB1F">
      <w:pPr>
        <w:jc w:val="center"/>
        <w:rPr>
          <w:rFonts w:hint="eastAsia" w:ascii="方正小标宋_GBK"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度常宁市商务局</w:t>
      </w:r>
    </w:p>
    <w:p w14:paraId="7B402835">
      <w:pPr>
        <w:jc w:val="center"/>
        <w:rPr>
          <w:rFonts w:ascii="Times New Roman" w:hAnsi="Times New Roman" w:eastAsia="仿宋_GB2312" w:cs="Times New Roman"/>
          <w:sz w:val="32"/>
          <w:szCs w:val="32"/>
        </w:rPr>
      </w:pPr>
      <w:r>
        <w:rPr>
          <w:rFonts w:ascii="方正小标宋_GBK" w:hAnsi="Times New Roman" w:eastAsia="方正小标宋_GBK" w:cs="Times New Roman"/>
          <w:sz w:val="44"/>
          <w:szCs w:val="44"/>
        </w:rPr>
        <w:t>部门整体支出绩效自评报告</w:t>
      </w:r>
      <w:bookmarkStart w:id="0" w:name="_GoBack"/>
      <w:bookmarkEnd w:id="0"/>
    </w:p>
    <w:p w14:paraId="1E602EF6">
      <w:pPr>
        <w:rPr>
          <w:rFonts w:ascii="Times New Roman" w:hAnsi="Times New Roman" w:eastAsia="黑体" w:cs="Times New Roman"/>
          <w:sz w:val="32"/>
          <w:szCs w:val="32"/>
        </w:rPr>
      </w:pPr>
    </w:p>
    <w:p w14:paraId="712BA7C2">
      <w:pPr>
        <w:pStyle w:val="6"/>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74F01743">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Style w:val="5"/>
          <w:rFonts w:hint="eastAsia" w:ascii="仿宋" w:hAnsi="仿宋" w:eastAsia="仿宋" w:cs="仿宋"/>
          <w:color w:val="333333"/>
          <w:spacing w:val="30"/>
          <w:sz w:val="32"/>
          <w:szCs w:val="32"/>
        </w:rPr>
        <w:t>(一)职能职责</w:t>
      </w:r>
    </w:p>
    <w:p w14:paraId="39B96804">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1、贯彻执行有关国内外贸易、国际经济合作、区域经济合作和粮食宏观调控的发展战略、政策,拟订全市国内外贸易、招商引资、承接产业转移、对外援助、对外投资、对外经济合作的中长期规划、政策措施和实施办法,研究提出经济全球化、区域经济合作、现代流通方式的发展趋势和流通体制改革的建议。</w:t>
      </w:r>
    </w:p>
    <w:p w14:paraId="18D832E7">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2、推进流通产业结构调整,指导流通企业改革,促进商贸服务业、社区商业发展,研究提出促进商贸中小企业发展的政策建议,推动流通标准化和连锁经营、商业特许经营、物流配送、电子商务等现代流通方式的发展。</w:t>
      </w:r>
    </w:p>
    <w:p w14:paraId="39258C67">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3、拟订全市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14:paraId="70882601">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4、牵头协调整顿和规范市场经济秩序工作,拟订规范市场秩序的政策;协调全市消除地区封锁、打破行业垄断的有关工作,规范商贸企业交易行为;推动商务领域信用建设,指导商业信用销售,建立市场诚信公共服务平台;按有关规定对特殊流通行业进行监督管理。</w:t>
      </w:r>
    </w:p>
    <w:p w14:paraId="3226E55B">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5、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14:paraId="1939AA9A">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6、贯彻执行国家进出口商品、加工贸易管理办法和进出口管理商品、技术目录;拟订促进外贸增长方式转变的政策措施;组织实施重要工业品、原材料和重要农产品进出口计划;指导、协调全市各类进出口企业的进出口业务和加工贸易业务,指导对外贸易促进活动和对外贸易促进体系建设。</w:t>
      </w:r>
    </w:p>
    <w:p w14:paraId="5452A7EA">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7、贯彻执行国家对外技术贸易、出口管制以及鼓励技术和成套设备进出口的贸易政策;负责协调管理内外贸易科技发展和技术进出口,协调全市高新技术产品出口、出口市场的开拓和技术出口的管理工作;依法监督管理全市技术进出口工作。</w:t>
      </w:r>
    </w:p>
    <w:p w14:paraId="0200B146">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8、牵头拟订服务贸易发展规划并开展相关工作;会同有关部门制定促进服务出口、服务外包的规划、政策并组织实施,推动服务外包平台建设。</w:t>
      </w:r>
    </w:p>
    <w:p w14:paraId="6F9D882B">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9、牵头承担全市商务领域涉及世界贸易组织事务的相关工作;负责组织协调反倾销、反补贴、保障措施及其他与进出口公平贸易相关的工作,协助开展对外贸调查和产业损害调查,指导协调产业安全应对工作;协助对经营者集中行为进行反垄断审查,指导企业在国外的反垄断应诉工作。</w:t>
      </w:r>
    </w:p>
    <w:p w14:paraId="097DCD3E">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10、指导全市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市外商投资企业审批工作,规范招商引资活动;指导国家级、省级经济技术开发区的有关工作。</w:t>
      </w:r>
    </w:p>
    <w:p w14:paraId="3A37720E">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11、负责组织参与商务部、省政府、衡阳市政府举办的内外贸易促销活动和招商引资、对外经济技术合作活动;负责组织、指导、协调以常宁市名义在境内外举办的各种内外贸易交易会、展览会、展销会和招商引资等商务活动。</w:t>
      </w:r>
    </w:p>
    <w:p w14:paraId="7C1F5534">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12、负责全市对外经济合作工作,拟订并组织实施全市对外经济合作的政策措施和管理办法;指导对外承包工程、对外劳务合作等对外经济合作业务;负责牵头外派劳务和境外就业人员的权益保护工作;协调管理全市承担的对外援助项目等。</w:t>
      </w:r>
    </w:p>
    <w:p w14:paraId="5914AF17">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13、贯彻执行国家对香港、澳门特别行政区和台湾地区的经贸规划、政策,指导我市对港、澳、台地区贸易和经贸合作活动,协调港、澳、台商投资管理工作。</w:t>
      </w:r>
    </w:p>
    <w:p w14:paraId="098DE14C">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14、承担全市商务系统统计及其信息发布工作,提供信息咨询服务,指导全市流通领域信息网络和电子商务建设。</w:t>
      </w:r>
    </w:p>
    <w:p w14:paraId="2308CF38">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17、负责对职责范围内有关行业、领域(包括商业贸易等)的安全生产工作实施监督管理。</w:t>
      </w:r>
    </w:p>
    <w:p w14:paraId="24024A12">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Fonts w:hint="eastAsia" w:ascii="仿宋" w:hAnsi="仿宋" w:eastAsia="仿宋" w:cs="仿宋"/>
          <w:color w:val="333333"/>
          <w:spacing w:val="30"/>
          <w:sz w:val="32"/>
          <w:szCs w:val="32"/>
        </w:rPr>
        <w:t>18、承办市人民政府交办的其他事项。</w:t>
      </w:r>
    </w:p>
    <w:p w14:paraId="06E06D42">
      <w:pPr>
        <w:pStyle w:val="2"/>
        <w:shd w:val="clear" w:color="auto" w:fill="FFFFFF"/>
        <w:spacing w:before="0" w:beforeAutospacing="0" w:after="0" w:afterAutospacing="0" w:line="600" w:lineRule="atLeast"/>
        <w:ind w:firstLine="480"/>
        <w:rPr>
          <w:rFonts w:hint="eastAsia" w:ascii="仿宋" w:hAnsi="仿宋" w:eastAsia="仿宋" w:cs="仿宋"/>
          <w:color w:val="373737"/>
          <w:spacing w:val="30"/>
          <w:sz w:val="32"/>
          <w:szCs w:val="32"/>
        </w:rPr>
      </w:pPr>
      <w:r>
        <w:rPr>
          <w:rStyle w:val="5"/>
          <w:rFonts w:hint="eastAsia" w:ascii="仿宋" w:hAnsi="仿宋" w:eastAsia="仿宋" w:cs="仿宋"/>
          <w:color w:val="373737"/>
          <w:spacing w:val="30"/>
          <w:sz w:val="32"/>
          <w:szCs w:val="32"/>
        </w:rPr>
        <w:t>(二)机构设置</w:t>
      </w:r>
    </w:p>
    <w:p w14:paraId="6ACC32D9">
      <w:pPr>
        <w:pStyle w:val="2"/>
        <w:shd w:val="clear" w:color="auto" w:fill="FFFFFF"/>
        <w:spacing w:before="0" w:beforeAutospacing="0" w:after="0" w:afterAutospacing="0" w:line="600" w:lineRule="atLeast"/>
        <w:ind w:firstLine="48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1、部门设置。根据编委核定本单位内设股室8个,包括:办公室、财务股、人事股、市场体系建设股、市场秩序股(市场运行监测股)、法规股(行政审批服务股)、对外贸易股、电子商务股。</w:t>
      </w:r>
    </w:p>
    <w:p w14:paraId="36C79FAD">
      <w:pPr>
        <w:pStyle w:val="2"/>
        <w:shd w:val="clear" w:color="auto" w:fill="FFFFFF"/>
        <w:spacing w:before="0" w:beforeAutospacing="0" w:after="0" w:afterAutospacing="0" w:line="600" w:lineRule="atLeast"/>
        <w:ind w:firstLine="48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纪检(监察)机构按有关规定设置。</w:t>
      </w:r>
    </w:p>
    <w:p w14:paraId="1439712A">
      <w:pPr>
        <w:pStyle w:val="2"/>
        <w:shd w:val="clear" w:color="auto" w:fill="FFFFFF"/>
        <w:spacing w:before="0" w:beforeAutospacing="0" w:after="0" w:afterAutospacing="0" w:line="600" w:lineRule="atLeast"/>
        <w:ind w:firstLine="48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 2、人员情况。本部门编制数83人,在职人数83人,其中:在岗人数83人。</w:t>
      </w:r>
    </w:p>
    <w:p w14:paraId="2FFD0137">
      <w:pPr>
        <w:pStyle w:val="7"/>
        <w:widowControl/>
        <w:numPr>
          <w:ilvl w:val="0"/>
          <w:numId w:val="0"/>
        </w:numPr>
        <w:spacing w:line="600" w:lineRule="exact"/>
        <w:ind w:firstLine="640" w:firstLineChars="20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二、一般公共预算支出情况</w:t>
      </w:r>
    </w:p>
    <w:p w14:paraId="7C95375B">
      <w:pPr>
        <w:pStyle w:val="7"/>
        <w:widowControl/>
        <w:spacing w:line="600" w:lineRule="exact"/>
        <w:ind w:firstLineChars="0"/>
        <w:rPr>
          <w:rFonts w:hint="eastAsia" w:ascii="仿宋" w:hAnsi="仿宋" w:eastAsia="仿宋" w:cs="仿宋"/>
          <w:bCs/>
          <w:sz w:val="32"/>
          <w:szCs w:val="32"/>
        </w:rPr>
      </w:pPr>
      <w:r>
        <w:rPr>
          <w:rFonts w:hint="eastAsia" w:ascii="仿宋" w:hAnsi="仿宋" w:eastAsia="仿宋" w:cs="仿宋"/>
          <w:sz w:val="32"/>
          <w:szCs w:val="32"/>
        </w:rPr>
        <w:t>2</w:t>
      </w:r>
      <w:r>
        <w:rPr>
          <w:rFonts w:hint="eastAsia" w:ascii="仿宋" w:hAnsi="仿宋" w:eastAsia="仿宋" w:cs="仿宋"/>
          <w:bCs/>
          <w:sz w:val="32"/>
          <w:szCs w:val="32"/>
        </w:rPr>
        <w:t xml:space="preserve">024年度财政拨款总收入2224.88万元，其中基本支出789.71万元，项目支出1435.17万元。 </w:t>
      </w:r>
    </w:p>
    <w:p w14:paraId="34DD1D00">
      <w:pPr>
        <w:pStyle w:val="7"/>
        <w:widowControl/>
        <w:numPr>
          <w:ilvl w:val="0"/>
          <w:numId w:val="2"/>
        </w:numPr>
        <w:spacing w:line="600" w:lineRule="exact"/>
        <w:ind w:firstLineChars="0"/>
        <w:rPr>
          <w:rFonts w:hint="eastAsia" w:ascii="仿宋" w:hAnsi="仿宋" w:eastAsia="仿宋" w:cs="仿宋"/>
          <w:b/>
          <w:sz w:val="32"/>
          <w:szCs w:val="32"/>
        </w:rPr>
      </w:pPr>
      <w:r>
        <w:rPr>
          <w:rFonts w:hint="eastAsia" w:ascii="仿宋" w:hAnsi="仿宋" w:eastAsia="仿宋" w:cs="仿宋"/>
          <w:b/>
          <w:sz w:val="32"/>
          <w:szCs w:val="32"/>
        </w:rPr>
        <w:t>基本支出情况</w:t>
      </w:r>
    </w:p>
    <w:p w14:paraId="421F0EDB">
      <w:pPr>
        <w:widowControl/>
        <w:spacing w:line="600" w:lineRule="exact"/>
        <w:ind w:firstLine="640" w:firstLineChars="200"/>
        <w:rPr>
          <w:rFonts w:hint="eastAsia" w:ascii="仿宋" w:hAnsi="仿宋" w:eastAsia="仿宋" w:cs="仿宋"/>
          <w:b/>
          <w:sz w:val="32"/>
          <w:szCs w:val="32"/>
        </w:rPr>
      </w:pPr>
      <w:r>
        <w:rPr>
          <w:rFonts w:hint="eastAsia" w:ascii="仿宋" w:hAnsi="仿宋" w:eastAsia="仿宋" w:cs="仿宋"/>
          <w:bCs/>
          <w:sz w:val="32"/>
          <w:szCs w:val="32"/>
        </w:rPr>
        <w:t>2024年度基本支出789.71万元，其中：人员经费677.92万元，主要包括：基本工资、津贴补贴、奖金、社会保障缴费、伙食补助费、其他工资福利支出、抚恤金、生活补助、住房公积金、其他对个人和家庭的补助；公用经费117.78万元，主要包括：办公费、印刷费、水费、电费、邮电费、物业管理费、差旅费、维修（护）费、租赁费、会议费、培训费、公务接待费、专用材料费、劳务费、工会经费、其他商品和服务支出。</w:t>
      </w:r>
    </w:p>
    <w:p w14:paraId="6AF9C063">
      <w:pPr>
        <w:pStyle w:val="7"/>
        <w:widowControl/>
        <w:spacing w:line="600" w:lineRule="exact"/>
        <w:ind w:firstLine="643"/>
        <w:rPr>
          <w:rFonts w:hint="eastAsia" w:ascii="仿宋" w:hAnsi="仿宋" w:eastAsia="仿宋" w:cs="仿宋"/>
          <w:b/>
          <w:sz w:val="32"/>
          <w:szCs w:val="32"/>
        </w:rPr>
      </w:pPr>
      <w:r>
        <w:rPr>
          <w:rFonts w:hint="eastAsia" w:ascii="仿宋" w:hAnsi="仿宋" w:eastAsia="仿宋" w:cs="仿宋"/>
          <w:b/>
          <w:sz w:val="32"/>
          <w:szCs w:val="32"/>
        </w:rPr>
        <w:t>（二）项目支出情况</w:t>
      </w:r>
    </w:p>
    <w:p w14:paraId="6768DFBC">
      <w:pPr>
        <w:spacing w:line="500" w:lineRule="exact"/>
        <w:ind w:firstLine="640" w:firstLineChars="200"/>
        <w:rPr>
          <w:rFonts w:ascii="宋体" w:hAnsi="宋体" w:eastAsia="宋体"/>
          <w:sz w:val="32"/>
          <w:szCs w:val="32"/>
        </w:rPr>
      </w:pPr>
      <w:r>
        <w:rPr>
          <w:rFonts w:hint="eastAsia" w:ascii="仿宋" w:hAnsi="仿宋" w:eastAsia="仿宋" w:cs="仿宋"/>
          <w:bCs/>
          <w:sz w:val="32"/>
          <w:szCs w:val="32"/>
        </w:rPr>
        <w:t>2024年度项目支出1435.17万元，</w:t>
      </w:r>
      <w:r>
        <w:rPr>
          <w:rFonts w:hint="eastAsia" w:ascii="仿宋" w:hAnsi="仿宋" w:eastAsia="仿宋" w:cs="仿宋"/>
          <w:sz w:val="32"/>
          <w:szCs w:val="32"/>
        </w:rPr>
        <w:t>具体支出如下表：</w:t>
      </w:r>
    </w:p>
    <w:tbl>
      <w:tblPr>
        <w:tblStyle w:val="3"/>
        <w:tblW w:w="9675" w:type="dxa"/>
        <w:tblInd w:w="-117" w:type="dxa"/>
        <w:tblLayout w:type="fixed"/>
        <w:tblCellMar>
          <w:top w:w="0" w:type="dxa"/>
          <w:left w:w="108" w:type="dxa"/>
          <w:bottom w:w="0" w:type="dxa"/>
          <w:right w:w="108" w:type="dxa"/>
        </w:tblCellMar>
      </w:tblPr>
      <w:tblGrid>
        <w:gridCol w:w="8181"/>
        <w:gridCol w:w="1494"/>
      </w:tblGrid>
      <w:tr w14:paraId="36611B09">
        <w:tblPrEx>
          <w:tblCellMar>
            <w:top w:w="0" w:type="dxa"/>
            <w:left w:w="108" w:type="dxa"/>
            <w:bottom w:w="0" w:type="dxa"/>
            <w:right w:w="108" w:type="dxa"/>
          </w:tblCellMar>
        </w:tblPrEx>
        <w:trPr>
          <w:trHeight w:val="300" w:hRule="atLeast"/>
        </w:trPr>
        <w:tc>
          <w:tcPr>
            <w:tcW w:w="8181" w:type="dxa"/>
            <w:tcBorders>
              <w:top w:val="single" w:color="auto" w:sz="4" w:space="0"/>
              <w:left w:val="single" w:color="auto" w:sz="4" w:space="0"/>
              <w:bottom w:val="single" w:color="auto" w:sz="4" w:space="0"/>
              <w:right w:val="single" w:color="auto" w:sz="4" w:space="0"/>
            </w:tcBorders>
            <w:shd w:val="clear" w:color="000000" w:fill="F1F1F1"/>
            <w:vAlign w:val="center"/>
          </w:tcPr>
          <w:p w14:paraId="77B54026">
            <w:pPr>
              <w:widowControl/>
              <w:jc w:val="center"/>
              <w:textAlignment w:val="center"/>
              <w:rPr>
                <w:rFonts w:ascii="宋体" w:hAnsi="宋体" w:eastAsia="宋体"/>
                <w:color w:val="000000"/>
                <w:sz w:val="22"/>
                <w:szCs w:val="22"/>
              </w:rPr>
            </w:pPr>
            <w:r>
              <w:rPr>
                <w:rFonts w:hint="eastAsia" w:ascii="宋体" w:hAnsi="宋体" w:eastAsia="宋体"/>
                <w:color w:val="000000"/>
                <w:sz w:val="22"/>
                <w:szCs w:val="22"/>
                <w:lang w:bidi="ar"/>
              </w:rPr>
              <w:t>栏次</w:t>
            </w:r>
          </w:p>
        </w:tc>
        <w:tc>
          <w:tcPr>
            <w:tcW w:w="1494" w:type="dxa"/>
            <w:tcBorders>
              <w:top w:val="single" w:color="auto" w:sz="4" w:space="0"/>
              <w:left w:val="nil"/>
              <w:bottom w:val="single" w:color="auto" w:sz="4" w:space="0"/>
              <w:right w:val="single" w:color="auto" w:sz="4" w:space="0"/>
            </w:tcBorders>
            <w:shd w:val="clear" w:color="000000" w:fill="F1F1F1"/>
            <w:vAlign w:val="center"/>
          </w:tcPr>
          <w:p w14:paraId="6F37D677">
            <w:pPr>
              <w:widowControl/>
              <w:jc w:val="center"/>
              <w:textAlignment w:val="center"/>
              <w:rPr>
                <w:rFonts w:ascii="宋体" w:hAnsi="宋体" w:eastAsia="宋体"/>
                <w:color w:val="000000"/>
                <w:sz w:val="22"/>
                <w:szCs w:val="22"/>
              </w:rPr>
            </w:pPr>
            <w:r>
              <w:rPr>
                <w:rFonts w:hint="eastAsia" w:ascii="宋体" w:hAnsi="宋体" w:eastAsia="宋体"/>
                <w:color w:val="000000"/>
                <w:sz w:val="22"/>
                <w:szCs w:val="22"/>
                <w:lang w:bidi="ar"/>
              </w:rPr>
              <w:t>合计（万元）</w:t>
            </w:r>
          </w:p>
        </w:tc>
      </w:tr>
      <w:tr w14:paraId="2B99B1A5">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1F1F1"/>
            <w:vAlign w:val="center"/>
          </w:tcPr>
          <w:p w14:paraId="7E7BABD8">
            <w:pPr>
              <w:widowControl/>
              <w:jc w:val="center"/>
              <w:textAlignment w:val="center"/>
              <w:rPr>
                <w:rFonts w:ascii="宋体" w:hAnsi="宋体" w:eastAsia="宋体"/>
                <w:color w:val="000000"/>
                <w:sz w:val="22"/>
                <w:szCs w:val="22"/>
              </w:rPr>
            </w:pPr>
            <w:r>
              <w:rPr>
                <w:rFonts w:hint="eastAsia" w:ascii="宋体" w:hAnsi="宋体" w:eastAsia="宋体"/>
                <w:color w:val="000000"/>
                <w:sz w:val="22"/>
                <w:szCs w:val="22"/>
                <w:lang w:bidi="ar"/>
              </w:rPr>
              <w:t>合计</w:t>
            </w:r>
          </w:p>
        </w:tc>
        <w:tc>
          <w:tcPr>
            <w:tcW w:w="1494" w:type="dxa"/>
            <w:tcBorders>
              <w:top w:val="nil"/>
              <w:left w:val="nil"/>
              <w:bottom w:val="single" w:color="auto" w:sz="4" w:space="0"/>
              <w:right w:val="single" w:color="auto" w:sz="4" w:space="0"/>
            </w:tcBorders>
            <w:shd w:val="clear" w:color="000000" w:fill="FFFFFF"/>
            <w:noWrap/>
            <w:vAlign w:val="center"/>
          </w:tcPr>
          <w:p w14:paraId="06782C38">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1,435.17</w:t>
            </w:r>
          </w:p>
        </w:tc>
      </w:tr>
      <w:tr w14:paraId="0E23963D">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026D01D8">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举办2024常宁网上年货节暨消费促进年经费</w:t>
            </w:r>
          </w:p>
        </w:tc>
        <w:tc>
          <w:tcPr>
            <w:tcW w:w="1494" w:type="dxa"/>
            <w:tcBorders>
              <w:top w:val="nil"/>
              <w:left w:val="nil"/>
              <w:bottom w:val="single" w:color="auto" w:sz="4" w:space="0"/>
              <w:right w:val="single" w:color="auto" w:sz="4" w:space="0"/>
            </w:tcBorders>
            <w:shd w:val="clear" w:color="000000" w:fill="FFFFFF"/>
            <w:noWrap/>
            <w:vAlign w:val="center"/>
          </w:tcPr>
          <w:p w14:paraId="40845318">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175.35</w:t>
            </w:r>
          </w:p>
        </w:tc>
      </w:tr>
      <w:tr w14:paraId="2C74DB3B">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18872522">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从大统计格局、大税务格局专项奖励资金中安排推进项目工作经费</w:t>
            </w:r>
          </w:p>
        </w:tc>
        <w:tc>
          <w:tcPr>
            <w:tcW w:w="1494" w:type="dxa"/>
            <w:tcBorders>
              <w:top w:val="nil"/>
              <w:left w:val="nil"/>
              <w:bottom w:val="single" w:color="auto" w:sz="4" w:space="0"/>
              <w:right w:val="single" w:color="auto" w:sz="4" w:space="0"/>
            </w:tcBorders>
            <w:shd w:val="clear" w:color="000000" w:fill="FFFFFF"/>
            <w:noWrap/>
            <w:vAlign w:val="center"/>
          </w:tcPr>
          <w:p w14:paraId="0A4C20F6">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2.50</w:t>
            </w:r>
          </w:p>
        </w:tc>
      </w:tr>
      <w:tr w14:paraId="52A28EDA">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699EFF7C">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安排电商发展资金</w:t>
            </w:r>
          </w:p>
        </w:tc>
        <w:tc>
          <w:tcPr>
            <w:tcW w:w="1494" w:type="dxa"/>
            <w:tcBorders>
              <w:top w:val="nil"/>
              <w:left w:val="nil"/>
              <w:bottom w:val="single" w:color="auto" w:sz="4" w:space="0"/>
              <w:right w:val="single" w:color="auto" w:sz="4" w:space="0"/>
            </w:tcBorders>
            <w:shd w:val="clear" w:color="000000" w:fill="FFFFFF"/>
            <w:noWrap/>
            <w:vAlign w:val="center"/>
          </w:tcPr>
          <w:p w14:paraId="6E32B4BD">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13.00</w:t>
            </w:r>
          </w:p>
        </w:tc>
      </w:tr>
      <w:tr w14:paraId="0EF7FB1E">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1E775B91">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开放型经济培育及社零总额统计工作经费</w:t>
            </w:r>
          </w:p>
        </w:tc>
        <w:tc>
          <w:tcPr>
            <w:tcW w:w="1494" w:type="dxa"/>
            <w:tcBorders>
              <w:top w:val="nil"/>
              <w:left w:val="nil"/>
              <w:bottom w:val="single" w:color="auto" w:sz="4" w:space="0"/>
              <w:right w:val="single" w:color="auto" w:sz="4" w:space="0"/>
            </w:tcBorders>
            <w:shd w:val="clear" w:color="000000" w:fill="FFFFFF"/>
            <w:noWrap/>
            <w:vAlign w:val="center"/>
          </w:tcPr>
          <w:p w14:paraId="40441A4A">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16.16</w:t>
            </w:r>
          </w:p>
        </w:tc>
      </w:tr>
      <w:tr w14:paraId="67CD17E0">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60826D55">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安排湘商回归和返乡创业专项行动工作经费</w:t>
            </w:r>
          </w:p>
        </w:tc>
        <w:tc>
          <w:tcPr>
            <w:tcW w:w="1494" w:type="dxa"/>
            <w:tcBorders>
              <w:top w:val="nil"/>
              <w:left w:val="nil"/>
              <w:bottom w:val="single" w:color="auto" w:sz="4" w:space="0"/>
              <w:right w:val="single" w:color="auto" w:sz="4" w:space="0"/>
            </w:tcBorders>
            <w:shd w:val="clear" w:color="000000" w:fill="FFFFFF"/>
            <w:noWrap/>
            <w:vAlign w:val="center"/>
          </w:tcPr>
          <w:p w14:paraId="56FFB585">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30.00</w:t>
            </w:r>
          </w:p>
        </w:tc>
      </w:tr>
      <w:tr w14:paraId="0BADE55C">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3BCEC4D8">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商务市场监管工作经费</w:t>
            </w:r>
          </w:p>
        </w:tc>
        <w:tc>
          <w:tcPr>
            <w:tcW w:w="1494" w:type="dxa"/>
            <w:tcBorders>
              <w:top w:val="nil"/>
              <w:left w:val="nil"/>
              <w:bottom w:val="single" w:color="auto" w:sz="4" w:space="0"/>
              <w:right w:val="single" w:color="auto" w:sz="4" w:space="0"/>
            </w:tcBorders>
            <w:shd w:val="clear" w:color="000000" w:fill="FFFFFF"/>
            <w:noWrap/>
            <w:vAlign w:val="center"/>
          </w:tcPr>
          <w:p w14:paraId="6091B68E">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29.08</w:t>
            </w:r>
          </w:p>
        </w:tc>
      </w:tr>
      <w:tr w14:paraId="02FFA8D5">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6DD4D67A">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2022年度培育“四上”企业奖励金及统计工作经费</w:t>
            </w:r>
          </w:p>
        </w:tc>
        <w:tc>
          <w:tcPr>
            <w:tcW w:w="1494" w:type="dxa"/>
            <w:tcBorders>
              <w:top w:val="nil"/>
              <w:left w:val="nil"/>
              <w:bottom w:val="single" w:color="auto" w:sz="4" w:space="0"/>
              <w:right w:val="single" w:color="auto" w:sz="4" w:space="0"/>
            </w:tcBorders>
            <w:shd w:val="clear" w:color="000000" w:fill="FFFFFF"/>
            <w:noWrap/>
            <w:vAlign w:val="center"/>
          </w:tcPr>
          <w:p w14:paraId="560B24F9">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53.50</w:t>
            </w:r>
          </w:p>
        </w:tc>
      </w:tr>
      <w:tr w14:paraId="358ED6D9">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7CB896FD">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招商引资专项资金</w:t>
            </w:r>
          </w:p>
        </w:tc>
        <w:tc>
          <w:tcPr>
            <w:tcW w:w="1494" w:type="dxa"/>
            <w:tcBorders>
              <w:top w:val="nil"/>
              <w:left w:val="nil"/>
              <w:bottom w:val="single" w:color="auto" w:sz="4" w:space="0"/>
              <w:right w:val="single" w:color="auto" w:sz="4" w:space="0"/>
            </w:tcBorders>
            <w:shd w:val="clear" w:color="000000" w:fill="FFFFFF"/>
            <w:noWrap/>
            <w:vAlign w:val="center"/>
          </w:tcPr>
          <w:p w14:paraId="5D1F9E27">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37.98</w:t>
            </w:r>
          </w:p>
        </w:tc>
      </w:tr>
      <w:tr w14:paraId="5D821DF4">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5379FCA0">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安排“金秋九月、相聚常宁”招商主题月恳谈会经费</w:t>
            </w:r>
          </w:p>
        </w:tc>
        <w:tc>
          <w:tcPr>
            <w:tcW w:w="1494" w:type="dxa"/>
            <w:tcBorders>
              <w:top w:val="nil"/>
              <w:left w:val="nil"/>
              <w:bottom w:val="single" w:color="auto" w:sz="4" w:space="0"/>
              <w:right w:val="single" w:color="auto" w:sz="4" w:space="0"/>
            </w:tcBorders>
            <w:shd w:val="clear" w:color="000000" w:fill="FFFFFF"/>
            <w:noWrap/>
            <w:vAlign w:val="center"/>
          </w:tcPr>
          <w:p w14:paraId="4EBC3887">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13.00</w:t>
            </w:r>
          </w:p>
        </w:tc>
      </w:tr>
      <w:tr w14:paraId="023E37EB">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36145DDC">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下达2023年电商发展专项资金</w:t>
            </w:r>
          </w:p>
        </w:tc>
        <w:tc>
          <w:tcPr>
            <w:tcW w:w="1494" w:type="dxa"/>
            <w:tcBorders>
              <w:top w:val="nil"/>
              <w:left w:val="nil"/>
              <w:bottom w:val="single" w:color="auto" w:sz="4" w:space="0"/>
              <w:right w:val="single" w:color="auto" w:sz="4" w:space="0"/>
            </w:tcBorders>
            <w:shd w:val="clear" w:color="000000" w:fill="FFFFFF"/>
            <w:noWrap/>
            <w:vAlign w:val="center"/>
          </w:tcPr>
          <w:p w14:paraId="62B1D8A4">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26.00</w:t>
            </w:r>
          </w:p>
        </w:tc>
      </w:tr>
      <w:tr w14:paraId="25A23AEB">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334624C2">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“数商兴农”专项行动助力乡村振兴专项资金</w:t>
            </w:r>
          </w:p>
        </w:tc>
        <w:tc>
          <w:tcPr>
            <w:tcW w:w="1494" w:type="dxa"/>
            <w:tcBorders>
              <w:top w:val="nil"/>
              <w:left w:val="nil"/>
              <w:bottom w:val="single" w:color="auto" w:sz="4" w:space="0"/>
              <w:right w:val="single" w:color="auto" w:sz="4" w:space="0"/>
            </w:tcBorders>
            <w:shd w:val="clear" w:color="000000" w:fill="FFFFFF"/>
            <w:noWrap/>
            <w:vAlign w:val="center"/>
          </w:tcPr>
          <w:p w14:paraId="660A8730">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17.00</w:t>
            </w:r>
          </w:p>
        </w:tc>
      </w:tr>
      <w:tr w14:paraId="2A21294B">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4504C175">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2021年度新增限额以上商贸流通企业奖补资金</w:t>
            </w:r>
          </w:p>
        </w:tc>
        <w:tc>
          <w:tcPr>
            <w:tcW w:w="1494" w:type="dxa"/>
            <w:tcBorders>
              <w:top w:val="nil"/>
              <w:left w:val="nil"/>
              <w:bottom w:val="single" w:color="auto" w:sz="4" w:space="0"/>
              <w:right w:val="single" w:color="auto" w:sz="4" w:space="0"/>
            </w:tcBorders>
            <w:shd w:val="clear" w:color="000000" w:fill="FFFFFF"/>
            <w:noWrap/>
            <w:vAlign w:val="center"/>
          </w:tcPr>
          <w:p w14:paraId="5797D643">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5.10</w:t>
            </w:r>
          </w:p>
        </w:tc>
      </w:tr>
      <w:tr w14:paraId="17F5022D">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49D3ED54">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衡阳市财政局关于下达2023年流通主体培育及消费促进资金（流通业发展）</w:t>
            </w:r>
          </w:p>
        </w:tc>
        <w:tc>
          <w:tcPr>
            <w:tcW w:w="1494" w:type="dxa"/>
            <w:tcBorders>
              <w:top w:val="nil"/>
              <w:left w:val="nil"/>
              <w:bottom w:val="single" w:color="auto" w:sz="4" w:space="0"/>
              <w:right w:val="single" w:color="auto" w:sz="4" w:space="0"/>
            </w:tcBorders>
            <w:shd w:val="clear" w:color="000000" w:fill="FFFFFF"/>
            <w:noWrap/>
            <w:vAlign w:val="center"/>
          </w:tcPr>
          <w:p w14:paraId="664D068C">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20.00</w:t>
            </w:r>
          </w:p>
        </w:tc>
      </w:tr>
      <w:tr w14:paraId="18A643AF">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6B2E3DEC">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2023年社保缴费结算资金（养老保险）</w:t>
            </w:r>
          </w:p>
        </w:tc>
        <w:tc>
          <w:tcPr>
            <w:tcW w:w="1494" w:type="dxa"/>
            <w:tcBorders>
              <w:top w:val="nil"/>
              <w:left w:val="nil"/>
              <w:bottom w:val="single" w:color="auto" w:sz="4" w:space="0"/>
              <w:right w:val="single" w:color="auto" w:sz="4" w:space="0"/>
            </w:tcBorders>
            <w:shd w:val="clear" w:color="000000" w:fill="FFFFFF"/>
            <w:noWrap/>
            <w:vAlign w:val="center"/>
          </w:tcPr>
          <w:p w14:paraId="7BE1D67A">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0.48</w:t>
            </w:r>
          </w:p>
        </w:tc>
      </w:tr>
      <w:tr w14:paraId="4F7FA8BC">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0298553E">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从社会保障和就业专项资金中安排退休干部待遇补贴</w:t>
            </w:r>
          </w:p>
        </w:tc>
        <w:tc>
          <w:tcPr>
            <w:tcW w:w="1494" w:type="dxa"/>
            <w:tcBorders>
              <w:top w:val="nil"/>
              <w:left w:val="nil"/>
              <w:bottom w:val="single" w:color="auto" w:sz="4" w:space="0"/>
              <w:right w:val="single" w:color="auto" w:sz="4" w:space="0"/>
            </w:tcBorders>
            <w:shd w:val="clear" w:color="000000" w:fill="FFFFFF"/>
            <w:noWrap/>
            <w:vAlign w:val="center"/>
          </w:tcPr>
          <w:p w14:paraId="2DDE3142">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8.40</w:t>
            </w:r>
          </w:p>
        </w:tc>
      </w:tr>
      <w:tr w14:paraId="734C8E47">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15D07DAA">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2023年社保缴费结算资金（医疗保险）</w:t>
            </w:r>
          </w:p>
        </w:tc>
        <w:tc>
          <w:tcPr>
            <w:tcW w:w="1494" w:type="dxa"/>
            <w:tcBorders>
              <w:top w:val="nil"/>
              <w:left w:val="nil"/>
              <w:bottom w:val="single" w:color="auto" w:sz="4" w:space="0"/>
              <w:right w:val="single" w:color="auto" w:sz="4" w:space="0"/>
            </w:tcBorders>
            <w:shd w:val="clear" w:color="000000" w:fill="FFFFFF"/>
            <w:noWrap/>
            <w:vAlign w:val="center"/>
          </w:tcPr>
          <w:p w14:paraId="28B912BC">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0.55</w:t>
            </w:r>
          </w:p>
        </w:tc>
      </w:tr>
      <w:tr w14:paraId="684EB365">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0911744C">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湘财外指【2023】0067下达清算2023年县域商业建设行动资金</w:t>
            </w:r>
          </w:p>
        </w:tc>
        <w:tc>
          <w:tcPr>
            <w:tcW w:w="1494" w:type="dxa"/>
            <w:tcBorders>
              <w:top w:val="nil"/>
              <w:left w:val="nil"/>
              <w:bottom w:val="single" w:color="auto" w:sz="4" w:space="0"/>
              <w:right w:val="single" w:color="auto" w:sz="4" w:space="0"/>
            </w:tcBorders>
            <w:shd w:val="clear" w:color="000000" w:fill="FFFFFF"/>
            <w:noWrap/>
            <w:vAlign w:val="center"/>
          </w:tcPr>
          <w:p w14:paraId="0AF53339">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143.60</w:t>
            </w:r>
          </w:p>
        </w:tc>
      </w:tr>
      <w:tr w14:paraId="53148624">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2DA080EF">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湘财外指【2023】0064号下达2022-2023年县域商业建设行动补充遴选项目资金</w:t>
            </w:r>
          </w:p>
        </w:tc>
        <w:tc>
          <w:tcPr>
            <w:tcW w:w="1494" w:type="dxa"/>
            <w:tcBorders>
              <w:top w:val="nil"/>
              <w:left w:val="nil"/>
              <w:bottom w:val="single" w:color="auto" w:sz="4" w:space="0"/>
              <w:right w:val="single" w:color="auto" w:sz="4" w:space="0"/>
            </w:tcBorders>
            <w:shd w:val="clear" w:color="000000" w:fill="FFFFFF"/>
            <w:noWrap/>
            <w:vAlign w:val="center"/>
          </w:tcPr>
          <w:p w14:paraId="6E6B9EEF">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217.76</w:t>
            </w:r>
          </w:p>
        </w:tc>
      </w:tr>
      <w:tr w14:paraId="3DB002CE">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271BFF9A">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2022年省级市场监测资金</w:t>
            </w:r>
          </w:p>
        </w:tc>
        <w:tc>
          <w:tcPr>
            <w:tcW w:w="1494" w:type="dxa"/>
            <w:tcBorders>
              <w:top w:val="nil"/>
              <w:left w:val="nil"/>
              <w:bottom w:val="single" w:color="auto" w:sz="4" w:space="0"/>
              <w:right w:val="single" w:color="auto" w:sz="4" w:space="0"/>
            </w:tcBorders>
            <w:shd w:val="clear" w:color="000000" w:fill="FFFFFF"/>
            <w:noWrap/>
            <w:vAlign w:val="center"/>
          </w:tcPr>
          <w:p w14:paraId="34F1289F">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4.74</w:t>
            </w:r>
          </w:p>
        </w:tc>
      </w:tr>
      <w:tr w14:paraId="34C6D43C">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6A7490DE">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湘财外指【2023】0066号清算2023年农产品供应链体系建设项目资金</w:t>
            </w:r>
          </w:p>
        </w:tc>
        <w:tc>
          <w:tcPr>
            <w:tcW w:w="1494" w:type="dxa"/>
            <w:tcBorders>
              <w:top w:val="nil"/>
              <w:left w:val="nil"/>
              <w:bottom w:val="single" w:color="auto" w:sz="4" w:space="0"/>
              <w:right w:val="single" w:color="auto" w:sz="4" w:space="0"/>
            </w:tcBorders>
            <w:shd w:val="clear" w:color="000000" w:fill="FFFFFF"/>
            <w:noWrap/>
            <w:vAlign w:val="center"/>
          </w:tcPr>
          <w:p w14:paraId="22E055DA">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71.97</w:t>
            </w:r>
          </w:p>
        </w:tc>
      </w:tr>
      <w:tr w14:paraId="26A384E0">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2AAAB423">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湖南省财政厅关于预拨2023年县域商业建设行动资金</w:t>
            </w:r>
          </w:p>
        </w:tc>
        <w:tc>
          <w:tcPr>
            <w:tcW w:w="1494" w:type="dxa"/>
            <w:tcBorders>
              <w:top w:val="nil"/>
              <w:left w:val="nil"/>
              <w:bottom w:val="single" w:color="auto" w:sz="4" w:space="0"/>
              <w:right w:val="single" w:color="auto" w:sz="4" w:space="0"/>
            </w:tcBorders>
            <w:shd w:val="clear" w:color="000000" w:fill="FFFFFF"/>
            <w:noWrap/>
            <w:vAlign w:val="center"/>
          </w:tcPr>
          <w:p w14:paraId="4B8F5CC9">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130.00</w:t>
            </w:r>
          </w:p>
        </w:tc>
      </w:tr>
      <w:tr w14:paraId="4F52B853">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74AA2F7E">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衡财外指【2024】23号下达2023年外贸促进资金</w:t>
            </w:r>
          </w:p>
        </w:tc>
        <w:tc>
          <w:tcPr>
            <w:tcW w:w="1494" w:type="dxa"/>
            <w:tcBorders>
              <w:top w:val="nil"/>
              <w:left w:val="nil"/>
              <w:bottom w:val="single" w:color="auto" w:sz="4" w:space="0"/>
              <w:right w:val="single" w:color="auto" w:sz="4" w:space="0"/>
            </w:tcBorders>
            <w:shd w:val="clear" w:color="000000" w:fill="FFFFFF"/>
            <w:noWrap/>
            <w:vAlign w:val="center"/>
          </w:tcPr>
          <w:p w14:paraId="6F02F536">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244.80</w:t>
            </w:r>
          </w:p>
        </w:tc>
      </w:tr>
      <w:tr w14:paraId="68B16685">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2AE263CD">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2023年加工贸易资金</w:t>
            </w:r>
          </w:p>
        </w:tc>
        <w:tc>
          <w:tcPr>
            <w:tcW w:w="1494" w:type="dxa"/>
            <w:tcBorders>
              <w:top w:val="nil"/>
              <w:left w:val="nil"/>
              <w:bottom w:val="single" w:color="auto" w:sz="4" w:space="0"/>
              <w:right w:val="single" w:color="auto" w:sz="4" w:space="0"/>
            </w:tcBorders>
            <w:shd w:val="clear" w:color="000000" w:fill="FFFFFF"/>
            <w:noWrap/>
            <w:vAlign w:val="center"/>
          </w:tcPr>
          <w:p w14:paraId="49DABB65">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18.30</w:t>
            </w:r>
          </w:p>
        </w:tc>
      </w:tr>
      <w:tr w14:paraId="56542DA5">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5AC88C01">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2022年外贸促进资金</w:t>
            </w:r>
          </w:p>
        </w:tc>
        <w:tc>
          <w:tcPr>
            <w:tcW w:w="1494" w:type="dxa"/>
            <w:tcBorders>
              <w:top w:val="nil"/>
              <w:left w:val="nil"/>
              <w:bottom w:val="single" w:color="auto" w:sz="4" w:space="0"/>
              <w:right w:val="single" w:color="auto" w:sz="4" w:space="0"/>
            </w:tcBorders>
            <w:shd w:val="clear" w:color="000000" w:fill="FFFFFF"/>
            <w:noWrap/>
            <w:vAlign w:val="center"/>
          </w:tcPr>
          <w:p w14:paraId="24DE9B13">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2.82</w:t>
            </w:r>
          </w:p>
        </w:tc>
      </w:tr>
      <w:tr w14:paraId="6AF13B76">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7B75E66E">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2021年外贸促进资金（产业集群）</w:t>
            </w:r>
          </w:p>
        </w:tc>
        <w:tc>
          <w:tcPr>
            <w:tcW w:w="1494" w:type="dxa"/>
            <w:tcBorders>
              <w:top w:val="nil"/>
              <w:left w:val="nil"/>
              <w:bottom w:val="single" w:color="auto" w:sz="4" w:space="0"/>
              <w:right w:val="single" w:color="auto" w:sz="4" w:space="0"/>
            </w:tcBorders>
            <w:shd w:val="clear" w:color="000000" w:fill="FFFFFF"/>
            <w:noWrap/>
            <w:vAlign w:val="center"/>
          </w:tcPr>
          <w:p w14:paraId="6F591E3A">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100.00</w:t>
            </w:r>
          </w:p>
        </w:tc>
      </w:tr>
      <w:tr w14:paraId="570AF670">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41FE603B">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上年结转湘财外指【2020】39号关于下达2020年外贸稳增长资金</w:t>
            </w:r>
          </w:p>
        </w:tc>
        <w:tc>
          <w:tcPr>
            <w:tcW w:w="1494" w:type="dxa"/>
            <w:tcBorders>
              <w:top w:val="nil"/>
              <w:left w:val="nil"/>
              <w:bottom w:val="single" w:color="auto" w:sz="4" w:space="0"/>
              <w:right w:val="single" w:color="auto" w:sz="4" w:space="0"/>
            </w:tcBorders>
            <w:shd w:val="clear" w:color="000000" w:fill="FFFFFF"/>
            <w:noWrap/>
            <w:vAlign w:val="center"/>
          </w:tcPr>
          <w:p w14:paraId="6CC9B214">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16.56</w:t>
            </w:r>
          </w:p>
        </w:tc>
      </w:tr>
      <w:tr w14:paraId="08DC62B2">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61A24DE7">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2023年度真抓实干成效明显奖励资金</w:t>
            </w:r>
          </w:p>
        </w:tc>
        <w:tc>
          <w:tcPr>
            <w:tcW w:w="1494" w:type="dxa"/>
            <w:tcBorders>
              <w:top w:val="nil"/>
              <w:left w:val="nil"/>
              <w:bottom w:val="single" w:color="auto" w:sz="4" w:space="0"/>
              <w:right w:val="single" w:color="auto" w:sz="4" w:space="0"/>
            </w:tcBorders>
            <w:shd w:val="clear" w:color="000000" w:fill="FFFFFF"/>
            <w:noWrap/>
            <w:vAlign w:val="center"/>
          </w:tcPr>
          <w:p w14:paraId="3274831C">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30.00</w:t>
            </w:r>
          </w:p>
        </w:tc>
      </w:tr>
      <w:tr w14:paraId="1931DC31">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3EDCB60F">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2022年加工贸易资金</w:t>
            </w:r>
          </w:p>
        </w:tc>
        <w:tc>
          <w:tcPr>
            <w:tcW w:w="1494" w:type="dxa"/>
            <w:tcBorders>
              <w:top w:val="nil"/>
              <w:left w:val="nil"/>
              <w:bottom w:val="single" w:color="auto" w:sz="4" w:space="0"/>
              <w:right w:val="single" w:color="auto" w:sz="4" w:space="0"/>
            </w:tcBorders>
            <w:shd w:val="clear" w:color="000000" w:fill="FFFFFF"/>
            <w:noWrap/>
            <w:vAlign w:val="center"/>
          </w:tcPr>
          <w:p w14:paraId="18C9FDEA">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2.00</w:t>
            </w:r>
          </w:p>
        </w:tc>
      </w:tr>
      <w:tr w14:paraId="33F9A5E3">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107A780C">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2023年外贸促进资金及园区外贸综合服务中心支持资金</w:t>
            </w:r>
          </w:p>
        </w:tc>
        <w:tc>
          <w:tcPr>
            <w:tcW w:w="1494" w:type="dxa"/>
            <w:tcBorders>
              <w:top w:val="nil"/>
              <w:left w:val="nil"/>
              <w:bottom w:val="single" w:color="auto" w:sz="4" w:space="0"/>
              <w:right w:val="single" w:color="auto" w:sz="4" w:space="0"/>
            </w:tcBorders>
            <w:shd w:val="clear" w:color="000000" w:fill="FFFFFF"/>
            <w:noWrap/>
            <w:vAlign w:val="center"/>
          </w:tcPr>
          <w:p w14:paraId="5EE8C385">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4.01</w:t>
            </w:r>
          </w:p>
        </w:tc>
      </w:tr>
      <w:tr w14:paraId="6C54560F">
        <w:tblPrEx>
          <w:tblCellMar>
            <w:top w:w="0" w:type="dxa"/>
            <w:left w:w="108" w:type="dxa"/>
            <w:bottom w:w="0" w:type="dxa"/>
            <w:right w:w="108" w:type="dxa"/>
          </w:tblCellMar>
        </w:tblPrEx>
        <w:trPr>
          <w:trHeight w:val="300" w:hRule="atLeast"/>
        </w:trPr>
        <w:tc>
          <w:tcPr>
            <w:tcW w:w="8181" w:type="dxa"/>
            <w:tcBorders>
              <w:top w:val="nil"/>
              <w:left w:val="single" w:color="auto" w:sz="4" w:space="0"/>
              <w:bottom w:val="single" w:color="auto" w:sz="4" w:space="0"/>
              <w:right w:val="single" w:color="auto" w:sz="4" w:space="0"/>
            </w:tcBorders>
            <w:shd w:val="clear" w:color="000000" w:fill="FFFFFF"/>
            <w:noWrap/>
            <w:vAlign w:val="center"/>
          </w:tcPr>
          <w:p w14:paraId="416D1CA2">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lang w:bidi="ar"/>
              </w:rPr>
              <w:t>2022年度安全生产和消防工作考核奖金</w:t>
            </w:r>
          </w:p>
        </w:tc>
        <w:tc>
          <w:tcPr>
            <w:tcW w:w="1494" w:type="dxa"/>
            <w:tcBorders>
              <w:top w:val="nil"/>
              <w:left w:val="nil"/>
              <w:bottom w:val="single" w:color="auto" w:sz="4" w:space="0"/>
              <w:right w:val="single" w:color="auto" w:sz="4" w:space="0"/>
            </w:tcBorders>
            <w:shd w:val="clear" w:color="000000" w:fill="FFFFFF"/>
            <w:noWrap/>
            <w:vAlign w:val="center"/>
          </w:tcPr>
          <w:p w14:paraId="15B44E32">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lang w:bidi="ar"/>
              </w:rPr>
              <w:t>0.50</w:t>
            </w:r>
          </w:p>
        </w:tc>
      </w:tr>
    </w:tbl>
    <w:p w14:paraId="0DAC1429">
      <w:pPr>
        <w:pStyle w:val="7"/>
        <w:widowControl/>
        <w:numPr>
          <w:ilvl w:val="0"/>
          <w:numId w:val="0"/>
        </w:num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val="en-US" w:eastAsia="zh-CN"/>
        </w:rPr>
        <w:t>三、</w:t>
      </w:r>
      <w:r>
        <w:rPr>
          <w:rFonts w:ascii="黑体" w:hAnsi="黑体" w:eastAsia="黑体" w:cs="Times New Roman"/>
          <w:sz w:val="32"/>
          <w:szCs w:val="32"/>
        </w:rPr>
        <w:t>政府性基金预算支出情况</w:t>
      </w:r>
    </w:p>
    <w:p w14:paraId="19DFCBB1">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2024年度我单位政府性基金预算支出100.98万元，主要是下达2024年节能家电以旧换新活动第一批补贴资金。</w:t>
      </w:r>
    </w:p>
    <w:p w14:paraId="060C2149">
      <w:pPr>
        <w:pStyle w:val="7"/>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val="en-US" w:eastAsia="zh-CN"/>
        </w:rPr>
        <w:t>四、</w:t>
      </w:r>
      <w:r>
        <w:rPr>
          <w:rFonts w:ascii="黑体" w:hAnsi="黑体" w:eastAsia="黑体" w:cs="Times New Roman"/>
          <w:sz w:val="32"/>
          <w:szCs w:val="32"/>
        </w:rPr>
        <w:t>国有资本经营预算支出情况</w:t>
      </w:r>
    </w:p>
    <w:p w14:paraId="32DCD1FB">
      <w:pPr>
        <w:pStyle w:val="7"/>
        <w:widowControl/>
        <w:spacing w:line="600" w:lineRule="exact"/>
        <w:ind w:left="640" w:firstLine="320" w:firstLineChars="100"/>
        <w:jc w:val="left"/>
        <w:rPr>
          <w:rFonts w:hint="eastAsia" w:ascii="仿宋" w:hAnsi="仿宋" w:eastAsia="仿宋" w:cs="仿宋"/>
          <w:sz w:val="32"/>
          <w:szCs w:val="32"/>
        </w:rPr>
      </w:pPr>
      <w:r>
        <w:rPr>
          <w:rFonts w:hint="eastAsia" w:ascii="仿宋" w:hAnsi="仿宋" w:eastAsia="仿宋" w:cs="仿宋"/>
          <w:sz w:val="32"/>
          <w:szCs w:val="32"/>
        </w:rPr>
        <w:t>2024年度我单位无国有资本经营预算支出。</w:t>
      </w:r>
    </w:p>
    <w:p w14:paraId="647A19C8">
      <w:pPr>
        <w:pStyle w:val="7"/>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val="en-US" w:eastAsia="zh-CN"/>
        </w:rPr>
        <w:t>五、</w:t>
      </w:r>
      <w:r>
        <w:rPr>
          <w:rFonts w:ascii="黑体" w:hAnsi="黑体" w:eastAsia="黑体" w:cs="Times New Roman"/>
          <w:sz w:val="32"/>
          <w:szCs w:val="32"/>
        </w:rPr>
        <w:t>社会保险基金预算支出情况</w:t>
      </w:r>
    </w:p>
    <w:p w14:paraId="33E6E31A">
      <w:pPr>
        <w:pStyle w:val="6"/>
        <w:widowControl/>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 2024年度我单位无社会保险基金预算支出。</w:t>
      </w:r>
    </w:p>
    <w:p w14:paraId="1E9AB78B">
      <w:pPr>
        <w:pStyle w:val="6"/>
        <w:widowControl/>
        <w:numPr>
          <w:ilvl w:val="0"/>
          <w:numId w:val="0"/>
        </w:num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val="en-US" w:eastAsia="zh-CN"/>
        </w:rPr>
        <w:t>六、</w:t>
      </w:r>
      <w:r>
        <w:rPr>
          <w:rFonts w:ascii="黑体" w:hAnsi="黑体" w:eastAsia="黑体" w:cs="Times New Roman"/>
          <w:sz w:val="32"/>
          <w:szCs w:val="32"/>
        </w:rPr>
        <w:t>部门整体支出绩效情况</w:t>
      </w:r>
    </w:p>
    <w:p w14:paraId="6360966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（一）招商引资成果丰硕</w:t>
      </w:r>
    </w:p>
    <w:p w14:paraId="03CAA1C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1- 12月，全市招商引资总额达到212.2亿元，成功引进三类500强项目1个，即株冶有色磷酸铁锂电池储能项目，为我市产业结构优化升级注入了强劲动力。</w:t>
      </w:r>
    </w:p>
    <w:p w14:paraId="61A7786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（二）湘商回归成效显著</w:t>
      </w:r>
    </w:p>
    <w:p w14:paraId="219D9A2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1-12月，全市新增湘商回归签约项目17个，实际到资40.79亿元，新增涉税市场主体9个，充分展现了我市对湘商的强大吸引力以及湘商反哺家乡的深厚情怀，有力推动了地方经济发展。</w:t>
      </w:r>
    </w:p>
    <w:p w14:paraId="193AC53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（三）外经外贸亮点突出</w:t>
      </w:r>
    </w:p>
    <w:p w14:paraId="02A6D6A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-12月，进出口总额达79.8亿元，在衡阳县市中进出口总量位居榜首，同比增长32.9%。进出口实绩企业新增至22家，其中新增破零企业5家，对外劳务输出人员24人，完成对外投资6万美元，外贸发展呈现出蓬勃生机与活力。</w:t>
      </w:r>
    </w:p>
    <w:p w14:paraId="6B7EBCA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（四）社零消费稳步增长</w:t>
      </w:r>
    </w:p>
    <w:p w14:paraId="5E56BEB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1-12月，我市社会消费品零售总额达到162.1亿元，较上年同期增长7.1%，在衡阳市各县市中位列第2名。同时，新增限上商贸企业18家，为消费市场持续繁荣增添了新动力，进一步稳固了消费增长基础。</w:t>
      </w:r>
    </w:p>
    <w:p w14:paraId="17EBAAD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（五）电子商务蓬勃发展</w:t>
      </w:r>
    </w:p>
    <w:p w14:paraId="35D631C6">
      <w:pPr>
        <w:pStyle w:val="6"/>
        <w:widowControl/>
        <w:spacing w:line="600" w:lineRule="exact"/>
        <w:ind w:left="640" w:firstLine="0" w:firstLineChars="0"/>
        <w:jc w:val="left"/>
        <w:rPr>
          <w:rFonts w:ascii="黑体" w:hAnsi="黑体" w:eastAsia="黑体" w:cs="Times New Roman"/>
          <w:sz w:val="32"/>
          <w:szCs w:val="32"/>
        </w:rPr>
      </w:pPr>
      <w:r>
        <w:rPr>
          <w:rFonts w:hint="eastAsia" w:ascii="仿宋" w:hAnsi="仿宋" w:eastAsia="仿宋" w:cs="仿宋"/>
          <w:sz w:val="32"/>
          <w:szCs w:val="32"/>
        </w:rPr>
        <w:t>2024年，全市农产品网络零售额成功突破5亿元，电商产业在助力农产品销售、推动乡村振兴方面发挥了重要作用，成为我市经济发展的新增长点和亮点领域。</w:t>
      </w:r>
    </w:p>
    <w:p w14:paraId="34F6198F">
      <w:pPr>
        <w:pStyle w:val="7"/>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val="en-US" w:eastAsia="zh-CN"/>
        </w:rPr>
        <w:t>七、</w:t>
      </w:r>
      <w:r>
        <w:rPr>
          <w:rFonts w:ascii="黑体" w:hAnsi="黑体" w:eastAsia="黑体" w:cs="Times New Roman"/>
          <w:sz w:val="32"/>
          <w:szCs w:val="32"/>
        </w:rPr>
        <w:t>存在的问题及原因分析</w:t>
      </w:r>
    </w:p>
    <w:p w14:paraId="34382F81">
      <w:pPr>
        <w:pStyle w:val="6"/>
        <w:widowControl/>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单位开展预算绩效管理的水平有待提高，由于预算绩效管理工作开展时间较短，缺乏系统、全面的知识培训，影响预算绩效管理工作的有效开展及推进。</w:t>
      </w:r>
    </w:p>
    <w:p w14:paraId="6E39AB55">
      <w:pPr>
        <w:pStyle w:val="6"/>
        <w:widowControl/>
        <w:numPr>
          <w:ilvl w:val="0"/>
          <w:numId w:val="0"/>
        </w:numPr>
        <w:spacing w:line="600" w:lineRule="exact"/>
        <w:ind w:left="120" w:leftChars="0" w:firstLine="640" w:firstLineChars="200"/>
        <w:jc w:val="left"/>
        <w:rPr>
          <w:rFonts w:ascii="Times New Roman" w:hAnsi="Times New Roman" w:eastAsia="黑体" w:cs="Times New Roman"/>
          <w:sz w:val="32"/>
          <w:szCs w:val="32"/>
        </w:rPr>
      </w:pPr>
      <w:r>
        <w:rPr>
          <w:rFonts w:hint="eastAsia" w:ascii="黑体" w:hAnsi="黑体" w:eastAsia="黑体" w:cs="Times New Roman"/>
          <w:sz w:val="32"/>
          <w:szCs w:val="32"/>
          <w:lang w:val="en-US" w:eastAsia="zh-CN"/>
        </w:rPr>
        <w:t>八、</w:t>
      </w:r>
      <w:r>
        <w:rPr>
          <w:rFonts w:ascii="黑体" w:hAnsi="黑体" w:eastAsia="黑体" w:cs="Times New Roman"/>
          <w:sz w:val="32"/>
          <w:szCs w:val="32"/>
        </w:rPr>
        <w:t>下一步改进措施</w:t>
      </w:r>
    </w:p>
    <w:p w14:paraId="290C1ABC">
      <w:pPr>
        <w:widowControl/>
        <w:spacing w:line="600" w:lineRule="exact"/>
        <w:ind w:firstLine="420"/>
        <w:jc w:val="left"/>
        <w:rPr>
          <w:rFonts w:hint="eastAsia" w:ascii="仿宋" w:hAnsi="仿宋" w:eastAsia="仿宋" w:cs="仿宋"/>
          <w:sz w:val="32"/>
          <w:szCs w:val="32"/>
        </w:rPr>
      </w:pPr>
      <w:r>
        <w:rPr>
          <w:rFonts w:hint="eastAsia" w:ascii="仿宋" w:hAnsi="仿宋" w:eastAsia="仿宋" w:cs="仿宋"/>
          <w:sz w:val="32"/>
          <w:szCs w:val="32"/>
        </w:rPr>
        <w:t>一是加强对本单位预算绩效评价管理工作的学习，进一步把握工作重点，不断提高预算绩效管理的水平。</w:t>
      </w:r>
    </w:p>
    <w:p w14:paraId="5197DBAC">
      <w:pPr>
        <w:widowControl/>
        <w:spacing w:line="600" w:lineRule="exact"/>
        <w:ind w:firstLine="420"/>
        <w:jc w:val="left"/>
        <w:rPr>
          <w:rFonts w:hint="eastAsia" w:ascii="仿宋" w:hAnsi="仿宋" w:eastAsia="仿宋" w:cs="仿宋"/>
          <w:sz w:val="32"/>
          <w:szCs w:val="32"/>
        </w:rPr>
      </w:pPr>
      <w:r>
        <w:rPr>
          <w:rFonts w:hint="eastAsia" w:ascii="仿宋" w:hAnsi="仿宋" w:eastAsia="仿宋" w:cs="仿宋"/>
          <w:sz w:val="32"/>
          <w:szCs w:val="32"/>
        </w:rPr>
        <w:t>二是加强对项目进度的监控，对年中追加的项目及时跟进，及时支付项目资金，提高预算指标执行率，确保本单位指标的合理利用。</w:t>
      </w:r>
    </w:p>
    <w:p w14:paraId="464162D2">
      <w:pPr>
        <w:pStyle w:val="6"/>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val="en-US" w:eastAsia="zh-CN"/>
        </w:rPr>
        <w:t>九、</w:t>
      </w:r>
      <w:r>
        <w:rPr>
          <w:rFonts w:ascii="黑体" w:hAnsi="黑体" w:eastAsia="黑体" w:cs="Times New Roman"/>
          <w:sz w:val="32"/>
          <w:szCs w:val="32"/>
        </w:rPr>
        <w:t>部门整体支出绩效自评结果拟应用和公开情况</w:t>
      </w:r>
    </w:p>
    <w:p w14:paraId="620582E1">
      <w:pPr>
        <w:pStyle w:val="6"/>
        <w:widowControl/>
        <w:spacing w:line="600" w:lineRule="exact"/>
        <w:ind w:left="1360" w:firstLine="0" w:firstLineChars="0"/>
        <w:jc w:val="left"/>
        <w:rPr>
          <w:rFonts w:hint="eastAsia" w:ascii="仿宋" w:hAnsi="仿宋" w:eastAsia="仿宋" w:cs="仿宋"/>
          <w:sz w:val="32"/>
          <w:szCs w:val="32"/>
        </w:rPr>
      </w:pPr>
      <w:r>
        <w:rPr>
          <w:rFonts w:hint="eastAsia" w:ascii="仿宋" w:hAnsi="仿宋" w:eastAsia="仿宋" w:cs="仿宋"/>
          <w:sz w:val="32"/>
          <w:szCs w:val="32"/>
        </w:rPr>
        <w:t>在本单位门户网站进行公开。</w:t>
      </w:r>
    </w:p>
    <w:p w14:paraId="478F9878">
      <w:pPr>
        <w:pStyle w:val="6"/>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val="en-US" w:eastAsia="zh-CN"/>
        </w:rPr>
        <w:t>十、</w:t>
      </w:r>
      <w:r>
        <w:rPr>
          <w:rFonts w:ascii="黑体" w:hAnsi="黑体" w:eastAsia="黑体" w:cs="Times New Roman"/>
          <w:sz w:val="32"/>
          <w:szCs w:val="32"/>
        </w:rPr>
        <w:t>其他需要说明的情况</w:t>
      </w:r>
    </w:p>
    <w:p w14:paraId="51A7ECF0">
      <w:pPr>
        <w:pStyle w:val="6"/>
        <w:widowControl/>
        <w:spacing w:line="600" w:lineRule="exact"/>
        <w:ind w:left="1360" w:firstLine="0" w:firstLineChars="0"/>
        <w:jc w:val="left"/>
      </w:pPr>
      <w:r>
        <w:rPr>
          <w:rFonts w:hint="eastAsia" w:ascii="仿宋" w:hAnsi="仿宋" w:eastAsia="仿宋" w:cs="仿宋"/>
          <w:sz w:val="32"/>
          <w:szCs w:val="32"/>
        </w:rPr>
        <w:t>无。</w:t>
      </w:r>
    </w:p>
    <w:sectPr>
      <w:pgSz w:w="11906" w:h="16838"/>
      <w:pgMar w:top="1702" w:right="1800" w:bottom="1843"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A665A"/>
    <w:rsid w:val="4A0A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 w:type="paragraph" w:customStyle="1" w:styleId="7">
    <w:name w:val="列出段落1"/>
    <w:basedOn w:val="1"/>
    <w:qFormat/>
    <w:uiPriority w:val="0"/>
    <w:pPr>
      <w:ind w:firstLine="420" w:firstLineChars="200"/>
    </w:pPr>
    <w:rPr>
      <w:rFonts w:ascii="Calibri" w:hAnsi="Calibri" w:eastAsia="宋体"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2025-08-30T01:56:00Z</dcterms:created>
  <dc:creator>AAA小仔当家童装15367088480</dc:creator>
  <cp:lastModifiedBy>AAA小仔当家童装15367088480</cp:lastModifiedBy>
  <dcterms:modified xsi:type="dcterms:W3CDTF">2025-08-30T01:57:40Z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8E774196E54D4AD485831ED6EDE0EC1E_11</vt:lpwstr>
  </property>
  <property fmtid="{D5CDD505-2E9C-101B-9397-08002B2CF9AE}" pid="4" name="KSOTemplateDocerSaveRecord">
    <vt:lpwstr>eyJoZGlkIjoiZmE3NGM1NzI5NjU0ZTY3MWUyYzQ2OGU5ZjMzZGQ4ZTUiLCJ1c2VySWQiOiI1NjUyNDM5MTUifQ==</vt:lpwstr>
  </property>
</Properties>
</file>