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2024年度常宁市工商业联合会整体支出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绩效自评报告</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财政支出绩效管理，提高财政资金使用效益，根据《湖南省预算支出绩效评价管理办法》（湘财绩〔2020〕7号）、常宁市财政局《关于开展2024年度预算支出绩效自评工作的通知》（常财绩〔2025〕19号）等文件精神，我会对2024年度部门整体支出进行了绩效自评，现将评价情况报告如下：</w:t>
      </w:r>
    </w:p>
    <w:p>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eastAsia="黑体" w:cs="Times New Roman"/>
          <w:b w:val="0"/>
          <w:bCs w:val="0"/>
          <w:color w:val="auto"/>
          <w:kern w:val="2"/>
          <w:sz w:val="32"/>
          <w:szCs w:val="32"/>
          <w:lang w:val="en-US" w:eastAsia="zh-CN" w:bidi="ar-SA"/>
        </w:rPr>
      </w:pPr>
      <w:r>
        <w:rPr>
          <w:rFonts w:hint="eastAsia" w:eastAsia="黑体" w:cs="Times New Roman"/>
          <w:b w:val="0"/>
          <w:bCs w:val="0"/>
          <w:color w:val="auto"/>
          <w:kern w:val="2"/>
          <w:sz w:val="32"/>
          <w:szCs w:val="32"/>
          <w:lang w:val="en-US" w:eastAsia="zh-CN" w:bidi="ar-SA"/>
        </w:rPr>
        <w:t>部门基本情况</w:t>
      </w:r>
    </w:p>
    <w:p>
      <w:pPr>
        <w:keepNext/>
        <w:keepLines/>
        <w:pageBreakBefore w:val="0"/>
        <w:widowControl w:val="0"/>
        <w:numPr>
          <w:ilvl w:val="0"/>
          <w:numId w:val="2"/>
        </w:numPr>
        <w:kinsoku/>
        <w:wordWrap/>
        <w:overflowPunct/>
        <w:topLinePunct w:val="0"/>
        <w:autoSpaceDE/>
        <w:autoSpaceDN/>
        <w:bidi w:val="0"/>
        <w:adjustRightInd/>
        <w:spacing w:line="592"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机构、人员构成</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常宁市工商业联合会属于行政事业单位。根据编委核定本单位内设股室3个，所属事业单位1个。其中：内设处室分别是办公室，经联部,会员部,所属事业单位是民营企业服务中心。单位负责人：郭云金。</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本部门编制数9人,在职人数15人，其中:在岗人数15人；离退休人数4人，其中离休人员0人，退休人员4人。 </w:t>
      </w:r>
    </w:p>
    <w:p>
      <w:pPr>
        <w:keepNext/>
        <w:keepLines/>
        <w:pageBreakBefore w:val="0"/>
        <w:widowControl w:val="0"/>
        <w:numPr>
          <w:ilvl w:val="0"/>
          <w:numId w:val="2"/>
        </w:numPr>
        <w:kinsoku/>
        <w:wordWrap/>
        <w:overflowPunct/>
        <w:topLinePunct w:val="0"/>
        <w:autoSpaceDE/>
        <w:autoSpaceDN/>
        <w:bidi w:val="0"/>
        <w:adjustRightInd/>
        <w:spacing w:line="592"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单位主要职能职责</w:t>
      </w:r>
    </w:p>
    <w:p>
      <w:pPr>
        <w:pStyle w:val="11"/>
        <w:widowControl/>
        <w:spacing w:beforeAutospacing="0" w:afterAutospacing="0" w:line="360" w:lineRule="auto"/>
        <w:ind w:firstLine="640" w:firstLineChars="200"/>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1、团结、服务、引导、教育非公有制经济人士爱国、敬业、诚信、守法、贡献，培养拥护党的领导、走中国特色社会主义道路的非公有制经济人士队伍。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2、做好非公有制经济代表人士政治安排的推荐工作。</w:t>
      </w:r>
    </w:p>
    <w:p>
      <w:pPr>
        <w:pStyle w:val="11"/>
        <w:widowControl/>
        <w:spacing w:beforeAutospacing="0" w:afterAutospacing="0" w:line="360" w:lineRule="auto"/>
        <w:ind w:firstLine="640" w:firstLineChars="200"/>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3、参与政府相关的经济活动，广泛联系各地工商界人士，开展民间外交，推动经贸交流和协作，促进经济社会发展。</w:t>
      </w:r>
    </w:p>
    <w:p>
      <w:pPr>
        <w:pStyle w:val="11"/>
        <w:widowControl/>
        <w:spacing w:beforeAutospacing="0" w:afterAutospacing="0" w:line="360" w:lineRule="auto"/>
        <w:ind w:firstLine="640" w:firstLineChars="200"/>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4、参与协调劳动关系，促进和谐社会建设。</w:t>
      </w:r>
    </w:p>
    <w:p>
      <w:pPr>
        <w:pStyle w:val="11"/>
        <w:widowControl/>
        <w:spacing w:beforeAutospacing="0" w:afterAutospacing="0" w:line="360" w:lineRule="auto"/>
        <w:ind w:firstLine="640" w:firstLineChars="200"/>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5、指导本会直属商会工作，积极参与社会组织建设工作，促进行业协会商会改革发展。</w:t>
      </w:r>
    </w:p>
    <w:p>
      <w:pPr>
        <w:pStyle w:val="11"/>
        <w:widowControl/>
        <w:spacing w:beforeAutospacing="0" w:afterAutospacing="0" w:line="360" w:lineRule="auto"/>
        <w:ind w:firstLine="640" w:firstLineChars="200"/>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6、反映非公有制企业和非公有制经济人士利益诉求，维护其合法权益。</w:t>
      </w:r>
    </w:p>
    <w:p>
      <w:pPr>
        <w:pStyle w:val="11"/>
        <w:widowControl/>
        <w:spacing w:beforeAutospacing="0" w:afterAutospacing="0" w:line="360" w:lineRule="auto"/>
        <w:ind w:firstLine="640" w:firstLineChars="200"/>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7、为会员提供政策信息、人才交流培训等服务。组织会员企业参加各类经贸活动，外出参观考察，帮助会员企业拓展市场。</w:t>
      </w:r>
    </w:p>
    <w:p>
      <w:pPr>
        <w:pStyle w:val="11"/>
        <w:widowControl/>
        <w:spacing w:beforeAutospacing="0" w:afterAutospacing="0" w:line="360" w:lineRule="auto"/>
        <w:ind w:firstLine="640" w:firstLineChars="200"/>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8、配合有关部门开展非公有制会员企业党建工作。</w:t>
      </w:r>
    </w:p>
    <w:p>
      <w:pPr>
        <w:pStyle w:val="11"/>
        <w:widowControl/>
        <w:spacing w:beforeAutospacing="0" w:afterAutospacing="0" w:line="360" w:lineRule="auto"/>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9、积极引导非公有制企业及其非公有制经济人士承担社会责任，大力支持慈善公益事业发展，积极投身光彩事业。10、承办市委、市政府和上级工商联交办的其它任务。</w:t>
      </w:r>
    </w:p>
    <w:p>
      <w:pPr>
        <w:pStyle w:val="11"/>
        <w:widowControl/>
        <w:spacing w:beforeAutospacing="0" w:afterAutospacing="0" w:line="360" w:lineRule="auto"/>
        <w:ind w:firstLine="640" w:firstLineChars="20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一般公共预算支出情况</w:t>
      </w:r>
    </w:p>
    <w:p>
      <w:pPr>
        <w:pStyle w:val="11"/>
        <w:widowControl/>
        <w:spacing w:beforeAutospacing="0" w:afterAutospacing="0" w:line="360" w:lineRule="auto"/>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2024年常宁市工商业联合会一般公共预算收入、支出均为234.01万元。</w:t>
      </w:r>
    </w:p>
    <w:p>
      <w:pPr>
        <w:keepNext/>
        <w:keepLines/>
        <w:pageBreakBefore w:val="0"/>
        <w:widowControl w:val="0"/>
        <w:numPr>
          <w:ilvl w:val="0"/>
          <w:numId w:val="3"/>
        </w:numPr>
        <w:kinsoku/>
        <w:wordWrap/>
        <w:overflowPunct/>
        <w:topLinePunct w:val="0"/>
        <w:autoSpaceDE/>
        <w:autoSpaceDN/>
        <w:bidi w:val="0"/>
        <w:adjustRightInd/>
        <w:spacing w:line="592"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基本支出情况</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2024年基本支出为179.99万元，其中人员经费142.71万元，公用经费37.24万元，与2023年相比增加19.55万元，增长10.86%,主要原因：工资调薪。</w:t>
      </w:r>
    </w:p>
    <w:p>
      <w:pPr>
        <w:keepNext/>
        <w:keepLines/>
        <w:pageBreakBefore w:val="0"/>
        <w:widowControl w:val="0"/>
        <w:numPr>
          <w:ilvl w:val="0"/>
          <w:numId w:val="3"/>
        </w:numPr>
        <w:kinsoku/>
        <w:wordWrap/>
        <w:overflowPunct/>
        <w:topLinePunct w:val="0"/>
        <w:autoSpaceDE/>
        <w:autoSpaceDN/>
        <w:bidi w:val="0"/>
        <w:adjustRightInd/>
        <w:spacing w:line="592"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项目支出情况</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2024年项目支出为38.11万元，与2023年相比减少28.67万元，减少42.93%，主要原因：节约开支。</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2024年项目支出主要为非公经济日常管理12.67万元、招商引资专项经费10.71万元、非公党建经费4万元、异地商会建设3万元等。</w:t>
      </w:r>
    </w:p>
    <w:p>
      <w:pPr>
        <w:numPr>
          <w:ilvl w:val="0"/>
          <w:numId w:val="0"/>
        </w:numPr>
        <w:snapToGrid w:val="0"/>
        <w:spacing w:line="580" w:lineRule="exact"/>
        <w:ind w:firstLine="640" w:firstLineChars="200"/>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我会制定了专项资金管理办法，资金使用规范，符合国家财经法规和财务管理以及专项资金管理办法的相关规定，不存在超标准开支情况和截留、挤占、挪用项目资金情况。</w:t>
      </w:r>
    </w:p>
    <w:p>
      <w:pPr>
        <w:pStyle w:val="12"/>
        <w:rPr>
          <w:rFonts w:hint="default"/>
          <w:lang w:val="en-US" w:eastAsia="zh-CN"/>
        </w:rPr>
      </w:pPr>
    </w:p>
    <w:p>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政府性基金预算支出情况</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国有资本经营预算支出情况</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社会保险基金预算支出情况</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部门整体支出绩效情况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2024年，常宁市工商联在市委、市政府的领导下，在衡阳市工商联和</w:t>
      </w:r>
      <w:r>
        <w:rPr>
          <w:rFonts w:hint="eastAsia" w:ascii="仿宋" w:hAnsi="仿宋" w:eastAsia="仿宋" w:cs="仿宋"/>
          <w:sz w:val="32"/>
          <w:szCs w:val="32"/>
          <w:lang w:eastAsia="zh-CN"/>
        </w:rPr>
        <w:t>常宁</w:t>
      </w:r>
      <w:r>
        <w:rPr>
          <w:rFonts w:hint="eastAsia" w:ascii="仿宋" w:hAnsi="仿宋" w:eastAsia="仿宋" w:cs="仿宋"/>
          <w:sz w:val="32"/>
          <w:szCs w:val="32"/>
        </w:rPr>
        <w:t>市委统战部的指导下，紧扣市委、市政府中心工作，切实发挥“桥梁、纽带和助手”作用，团结和带领广大非公经济人士，构建“亲清”新型政商关系，践行“工业领航、绿色崛起、城乡协调、民生共享”</w:t>
      </w:r>
      <w:r>
        <w:rPr>
          <w:rFonts w:hint="eastAsia" w:ascii="仿宋" w:hAnsi="仿宋" w:eastAsia="仿宋" w:cs="仿宋"/>
          <w:sz w:val="32"/>
          <w:szCs w:val="32"/>
          <w:lang w:eastAsia="zh-CN"/>
        </w:rPr>
        <w:t>发展战略</w:t>
      </w:r>
      <w:r>
        <w:rPr>
          <w:rFonts w:hint="eastAsia" w:ascii="仿宋" w:hAnsi="仿宋" w:eastAsia="仿宋" w:cs="仿宋"/>
          <w:sz w:val="32"/>
          <w:szCs w:val="32"/>
        </w:rPr>
        <w:t>，为常宁“奋力跻身全省经济十强，努力迈向全国经济百强”积极贡献自身力量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常宁市隆源铜业有限公司董事长罗军、高诺(衡阳)产业园有限公司分别评为衡阳市第二届“兴衡贡献奖”先进个人、先进集体。湖南德邦生物进入国家级专精特新重点“小巨人”企业，瓦松铁路成功加入湘粤非铁海联运通道，推荐15个商会会长担任“招商大使”。</w:t>
      </w:r>
      <w:r>
        <w:rPr>
          <w:rFonts w:hint="eastAsia" w:ascii="仿宋" w:hAnsi="仿宋" w:eastAsia="仿宋" w:cs="仿宋"/>
          <w:sz w:val="32"/>
          <w:szCs w:val="32"/>
        </w:rPr>
        <w:t>现将相关情况</w:t>
      </w:r>
      <w:r>
        <w:rPr>
          <w:rFonts w:hint="eastAsia" w:ascii="仿宋" w:hAnsi="仿宋" w:eastAsia="仿宋" w:cs="仿宋"/>
          <w:sz w:val="32"/>
          <w:szCs w:val="32"/>
          <w:lang w:eastAsia="zh-CN"/>
        </w:rPr>
        <w:t>汇报</w:t>
      </w:r>
      <w:r>
        <w:rPr>
          <w:rFonts w:hint="eastAsia" w:ascii="仿宋" w:hAnsi="仿宋" w:eastAsia="仿宋" w:cs="仿宋"/>
          <w:sz w:val="32"/>
          <w:szCs w:val="32"/>
        </w:rPr>
        <w:t>如下：</w:t>
      </w:r>
    </w:p>
    <w:p>
      <w:pPr>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强化政治引领，凝聚民营经济人士思想共识</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rPr>
        <w:t>一是强化政治理论引领</w:t>
      </w:r>
      <w:r>
        <w:rPr>
          <w:rFonts w:hint="eastAsia" w:ascii="仿宋" w:hAnsi="仿宋" w:eastAsia="仿宋" w:cs="仿宋"/>
          <w:sz w:val="32"/>
          <w:szCs w:val="32"/>
        </w:rPr>
        <w:t>。通过专题培训、入企宣讲、开展调研等形式，引导非公经济人士深入学习党的二十大和二十届三中全会精神</w:t>
      </w:r>
      <w:r>
        <w:rPr>
          <w:rFonts w:hint="eastAsia" w:ascii="仿宋" w:hAnsi="仿宋" w:eastAsia="仿宋" w:cs="仿宋"/>
          <w:sz w:val="32"/>
          <w:szCs w:val="32"/>
          <w:lang w:eastAsia="zh-CN"/>
        </w:rPr>
        <w:t>，</w:t>
      </w:r>
      <w:r>
        <w:rPr>
          <w:rFonts w:hint="eastAsia" w:ascii="仿宋" w:hAnsi="仿宋" w:eastAsia="仿宋" w:cs="仿宋"/>
          <w:sz w:val="32"/>
          <w:szCs w:val="32"/>
        </w:rPr>
        <w:t>组织民营企业家学习贯彻习近平总书记关于促进民营经济发展壮大系列重要论述精神，</w:t>
      </w:r>
      <w:r>
        <w:rPr>
          <w:rFonts w:hint="eastAsia" w:ascii="仿宋" w:hAnsi="仿宋" w:eastAsia="仿宋" w:cs="仿宋"/>
          <w:color w:val="000000"/>
          <w:sz w:val="32"/>
          <w:szCs w:val="32"/>
          <w:lang w:eastAsia="zh-CN"/>
        </w:rPr>
        <w:t>请党校老师解读</w:t>
      </w:r>
      <w:r>
        <w:rPr>
          <w:rFonts w:hint="eastAsia" w:ascii="仿宋" w:hAnsi="仿宋" w:eastAsia="仿宋" w:cs="仿宋"/>
          <w:color w:val="000000"/>
          <w:sz w:val="32"/>
          <w:szCs w:val="32"/>
          <w:lang w:val="en-US" w:eastAsia="zh-CN"/>
        </w:rPr>
        <w:t>《中国共产党纪律处分条例》，</w:t>
      </w:r>
      <w:r>
        <w:rPr>
          <w:rFonts w:hint="eastAsia" w:ascii="仿宋" w:hAnsi="仿宋" w:eastAsia="仿宋" w:cs="仿宋"/>
          <w:sz w:val="32"/>
          <w:szCs w:val="32"/>
        </w:rPr>
        <w:t>着力提振民营企业发展信心、引导民营企业听党话，感党恩，跟党走。全年共开展培训</w:t>
      </w:r>
      <w:r>
        <w:rPr>
          <w:rFonts w:hint="eastAsia" w:ascii="仿宋" w:hAnsi="仿宋" w:eastAsia="仿宋" w:cs="仿宋"/>
          <w:sz w:val="32"/>
          <w:szCs w:val="32"/>
          <w:lang w:val="en-US" w:eastAsia="zh-CN"/>
        </w:rPr>
        <w:t>3</w:t>
      </w:r>
      <w:r>
        <w:rPr>
          <w:rFonts w:hint="eastAsia" w:ascii="仿宋" w:hAnsi="仿宋" w:eastAsia="仿宋" w:cs="仿宋"/>
          <w:sz w:val="32"/>
          <w:szCs w:val="32"/>
        </w:rPr>
        <w:t>场，参与人数</w:t>
      </w:r>
      <w:r>
        <w:rPr>
          <w:rFonts w:hint="eastAsia" w:ascii="仿宋" w:hAnsi="仿宋" w:eastAsia="仿宋" w:cs="仿宋"/>
          <w:sz w:val="32"/>
          <w:szCs w:val="32"/>
          <w:lang w:val="en-US" w:eastAsia="zh-CN"/>
        </w:rPr>
        <w:t>1</w:t>
      </w:r>
      <w:r>
        <w:rPr>
          <w:rFonts w:hint="eastAsia" w:ascii="仿宋" w:hAnsi="仿宋" w:eastAsia="仿宋" w:cs="仿宋"/>
          <w:sz w:val="32"/>
          <w:szCs w:val="32"/>
        </w:rPr>
        <w:t>00余人。</w:t>
      </w:r>
      <w:r>
        <w:rPr>
          <w:rFonts w:hint="eastAsia" w:ascii="楷体" w:hAnsi="楷体" w:eastAsia="楷体" w:cs="楷体"/>
          <w:sz w:val="32"/>
          <w:szCs w:val="32"/>
        </w:rPr>
        <w:t>二是发挥党建引领作用</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开展以“感受信仰力量 锤练坚强党性”为主题的党员教育培训，结合全市两新党建轮值活动，组织商协会党委、机关党支部全体党员参观了夏明翰故居和夏明翰党性教育基地。</w:t>
      </w:r>
      <w:r>
        <w:rPr>
          <w:rFonts w:hint="eastAsia" w:ascii="仿宋" w:hAnsi="仿宋" w:eastAsia="仿宋" w:cs="仿宋"/>
          <w:color w:val="000000"/>
          <w:sz w:val="32"/>
          <w:szCs w:val="32"/>
        </w:rPr>
        <w:t>把意识形态工作</w:t>
      </w:r>
      <w:r>
        <w:rPr>
          <w:rFonts w:hint="eastAsia" w:ascii="仿宋" w:hAnsi="仿宋" w:eastAsia="仿宋" w:cs="仿宋"/>
          <w:color w:val="000000"/>
          <w:sz w:val="32"/>
          <w:szCs w:val="32"/>
          <w:lang w:eastAsia="zh-CN"/>
        </w:rPr>
        <w:t>、铸牢中华民族共同体意识内容等</w:t>
      </w:r>
      <w:r>
        <w:rPr>
          <w:rFonts w:hint="eastAsia" w:ascii="仿宋" w:hAnsi="仿宋" w:eastAsia="仿宋" w:cs="仿宋"/>
          <w:color w:val="000000"/>
          <w:sz w:val="32"/>
          <w:szCs w:val="32"/>
        </w:rPr>
        <w:t>列入年度工作要点</w:t>
      </w:r>
      <w:r>
        <w:rPr>
          <w:rFonts w:hint="eastAsia" w:ascii="仿宋" w:hAnsi="仿宋" w:eastAsia="仿宋" w:cs="仿宋"/>
          <w:color w:val="000000"/>
          <w:sz w:val="32"/>
          <w:szCs w:val="32"/>
          <w:lang w:eastAsia="zh-CN"/>
        </w:rPr>
        <w:t>。</w:t>
      </w:r>
      <w:r>
        <w:rPr>
          <w:rFonts w:hint="eastAsia" w:ascii="楷体" w:hAnsi="楷体" w:eastAsia="楷体" w:cs="楷体"/>
          <w:color w:val="000000" w:themeColor="text1"/>
          <w:sz w:val="32"/>
          <w:szCs w:val="32"/>
          <w:lang w:eastAsia="zh-CN"/>
          <w14:textFill>
            <w14:solidFill>
              <w14:schemeClr w14:val="tx1"/>
            </w14:solidFill>
          </w14:textFill>
        </w:rPr>
        <w:t>三是开展党纪学习教育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w:t>
      </w:r>
      <w:r>
        <w:rPr>
          <w:rFonts w:ascii="仿宋_GB2312" w:hAnsi="宋体" w:eastAsia="仿宋_GB2312" w:cs="仿宋_GB2312"/>
          <w:color w:val="333333"/>
          <w:sz w:val="33"/>
          <w:szCs w:val="33"/>
          <w:shd w:val="clear" w:color="auto" w:fill="FFFFFF"/>
        </w:rPr>
        <w:t>机关党员干部和直属商协会党员</w:t>
      </w:r>
      <w:r>
        <w:rPr>
          <w:rFonts w:hint="eastAsia" w:ascii="仿宋_GB2312" w:hAnsi="宋体" w:eastAsia="仿宋_GB2312" w:cs="仿宋_GB2312"/>
          <w:color w:val="333333"/>
          <w:sz w:val="33"/>
          <w:szCs w:val="33"/>
          <w:shd w:val="clear" w:color="auto" w:fill="FFFFFF"/>
        </w:rPr>
        <w:t>中开展</w:t>
      </w:r>
      <w:r>
        <w:rPr>
          <w:rFonts w:ascii="仿宋_GB2312" w:hAnsi="宋体" w:eastAsia="仿宋_GB2312" w:cs="仿宋_GB2312"/>
          <w:color w:val="333333"/>
          <w:sz w:val="33"/>
          <w:szCs w:val="33"/>
          <w:shd w:val="clear" w:color="auto" w:fill="FFFFFF"/>
        </w:rPr>
        <w:t>党纪学习教育</w:t>
      </w:r>
      <w:r>
        <w:rPr>
          <w:rFonts w:hint="eastAsia" w:ascii="仿宋_GB2312" w:hAnsi="宋体" w:eastAsia="仿宋_GB2312" w:cs="仿宋_GB2312"/>
          <w:color w:val="333333"/>
          <w:sz w:val="33"/>
          <w:szCs w:val="33"/>
          <w:shd w:val="clear" w:color="auto" w:fill="FFFFFF"/>
        </w:rPr>
        <w:t>，</w:t>
      </w:r>
      <w:r>
        <w:rPr>
          <w:rFonts w:hint="eastAsia" w:ascii="仿宋_GB2312" w:hAnsi="宋体" w:eastAsia="仿宋_GB2312" w:cs="仿宋_GB2312"/>
          <w:color w:val="333333"/>
          <w:sz w:val="33"/>
          <w:szCs w:val="33"/>
          <w:shd w:val="clear" w:color="auto" w:fill="FFFFFF"/>
          <w:lang w:eastAsia="zh-CN"/>
        </w:rPr>
        <w:t>组织专题研讨会</w:t>
      </w:r>
      <w:r>
        <w:rPr>
          <w:rFonts w:hint="eastAsia" w:ascii="仿宋_GB2312" w:hAnsi="宋体" w:eastAsia="仿宋_GB2312" w:cs="仿宋_GB2312"/>
          <w:color w:val="333333"/>
          <w:sz w:val="33"/>
          <w:szCs w:val="33"/>
          <w:shd w:val="clear" w:color="auto" w:fill="FFFFFF"/>
          <w:lang w:val="en-US" w:eastAsia="zh-CN"/>
        </w:rPr>
        <w:t>4次，</w:t>
      </w:r>
      <w:r>
        <w:rPr>
          <w:rFonts w:hint="eastAsia" w:ascii="仿宋_GB2312" w:hAnsi="宋体" w:eastAsia="仿宋_GB2312" w:cs="仿宋_GB2312"/>
          <w:color w:val="333333"/>
          <w:sz w:val="33"/>
          <w:szCs w:val="33"/>
          <w:shd w:val="clear" w:color="auto" w:fill="FFFFFF"/>
        </w:rPr>
        <w:t>引导党员做到</w:t>
      </w:r>
      <w:r>
        <w:rPr>
          <w:rFonts w:ascii="仿宋_GB2312" w:hAnsi="宋体" w:eastAsia="仿宋_GB2312" w:cs="仿宋_GB2312"/>
          <w:color w:val="333333"/>
          <w:sz w:val="33"/>
          <w:szCs w:val="33"/>
          <w:shd w:val="clear" w:color="auto" w:fill="FFFFFF"/>
        </w:rPr>
        <w:t>学纪、知纪、明纪、守纪。</w:t>
      </w:r>
      <w:r>
        <w:rPr>
          <w:rFonts w:hint="eastAsia" w:ascii="仿宋" w:hAnsi="仿宋" w:eastAsia="仿宋" w:cs="仿宋"/>
          <w:sz w:val="32"/>
          <w:szCs w:val="32"/>
          <w:lang w:val="en-US" w:eastAsia="zh-CN"/>
        </w:rPr>
        <w:t>党员干部的纪律意识进一步提高，党组织的凝聚力和战斗力进一步增强。 推动了工商联工作的高质量发展。</w:t>
      </w:r>
    </w:p>
    <w:p>
      <w:pPr>
        <w:ind w:firstLine="640" w:firstLineChars="20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搭建商会平台，助推民营经济健康发展</w:t>
      </w:r>
    </w:p>
    <w:p>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rPr>
        <w:t>一是扎实推进商会建设</w:t>
      </w:r>
      <w:r>
        <w:rPr>
          <w:rFonts w:hint="eastAsia" w:ascii="仿宋" w:hAnsi="仿宋" w:eastAsia="仿宋" w:cs="仿宋"/>
          <w:b/>
          <w:bCs/>
          <w:sz w:val="32"/>
          <w:szCs w:val="32"/>
        </w:rPr>
        <w:t>。</w:t>
      </w:r>
      <w:r>
        <w:rPr>
          <w:rFonts w:hint="eastAsia" w:ascii="仿宋" w:hAnsi="仿宋" w:eastAsia="仿宋" w:cs="仿宋"/>
          <w:sz w:val="32"/>
          <w:szCs w:val="32"/>
        </w:rPr>
        <w:t>目前已成立东莞、北京、上海等13家异地商会和组建了12个筹备小组，常宁市内组建了青商会、女商会。注重加强与各商会联络沟通，走访慰问在外创业发展的常宁籍企业家，听取大家对家乡建设和发展的意见建议，指导广东省湖南常宁商会、</w:t>
      </w:r>
      <w:r>
        <w:rPr>
          <w:rFonts w:hint="eastAsia" w:ascii="仿宋" w:hAnsi="仿宋" w:eastAsia="仿宋" w:cs="仿宋"/>
          <w:sz w:val="32"/>
          <w:szCs w:val="32"/>
          <w:lang w:eastAsia="zh-CN"/>
        </w:rPr>
        <w:t>长沙市常宁商会、</w:t>
      </w:r>
      <w:r>
        <w:rPr>
          <w:rFonts w:hint="eastAsia" w:ascii="仿宋" w:hAnsi="仿宋" w:eastAsia="仿宋" w:cs="仿宋"/>
          <w:sz w:val="32"/>
          <w:szCs w:val="32"/>
        </w:rPr>
        <w:t>女企业家商会、韶关常宁商会完成换届</w:t>
      </w:r>
      <w:r>
        <w:rPr>
          <w:rFonts w:hint="eastAsia" w:ascii="仿宋" w:hAnsi="仿宋" w:eastAsia="仿宋" w:cs="仿宋"/>
          <w:sz w:val="32"/>
          <w:szCs w:val="32"/>
          <w:lang w:eastAsia="zh-CN"/>
        </w:rPr>
        <w:t>，指导郴州市常宁商会开好年会</w:t>
      </w:r>
      <w:r>
        <w:rPr>
          <w:rFonts w:hint="eastAsia" w:ascii="仿宋" w:hAnsi="仿宋" w:eastAsia="仿宋" w:cs="仿宋"/>
          <w:sz w:val="32"/>
          <w:szCs w:val="32"/>
        </w:rPr>
        <w:t>。</w:t>
      </w:r>
      <w:r>
        <w:rPr>
          <w:rFonts w:hint="eastAsia" w:ascii="楷体" w:hAnsi="楷体" w:eastAsia="楷体" w:cs="楷体"/>
          <w:sz w:val="32"/>
          <w:szCs w:val="32"/>
          <w:lang w:eastAsia="zh-CN"/>
        </w:rPr>
        <w:t>二是开展招商引资活动。</w:t>
      </w:r>
      <w:r>
        <w:rPr>
          <w:rFonts w:hint="eastAsia" w:ascii="仿宋" w:hAnsi="仿宋" w:eastAsia="仿宋" w:cs="仿宋"/>
          <w:sz w:val="32"/>
          <w:szCs w:val="32"/>
          <w:lang w:val="en-US" w:eastAsia="zh-CN"/>
        </w:rPr>
        <w:t>一方面是“走出去”。以“金秋助学行动”、商会换届、年会庆典活动为契机，赴各异地商会宣传常宁136营商环境机制，“四最”常宁营商环境。另一方面是“请进来”。召开“迎老乡、回故乡、建家乡新”新春恳谈会、全国常宁商会招商引资座谈会，请市委市政府主要领导宣传常宁招商引资政策，优化营销环境。联系株洲衡阳商会、长沙市常宁商会到两个千亿级园区招商考察，承办衡阳市工商联中心化“互访互学互促”系统交流活动之常宁市“助力旅发大会”工作经验交流会。做好招商引资基础性工作，对异地常年商会会员数、行业、籍贯等进行统计。实时向异地商会推送常宁优化营销环境新举措、新成效。</w:t>
      </w:r>
    </w:p>
    <w:p>
      <w:pPr>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拓展服务途径，优化民营经济营商环境</w:t>
      </w:r>
    </w:p>
    <w:p>
      <w:pPr>
        <w:ind w:firstLine="640" w:firstLineChars="200"/>
        <w:rPr>
          <w:rFonts w:ascii="仿宋" w:hAnsi="仿宋" w:eastAsia="仿宋" w:cs="仿宋"/>
          <w:sz w:val="32"/>
          <w:szCs w:val="32"/>
        </w:rPr>
      </w:pPr>
      <w:r>
        <w:rPr>
          <w:rFonts w:hint="eastAsia" w:ascii="楷体" w:hAnsi="楷体" w:eastAsia="楷体" w:cs="楷体"/>
          <w:sz w:val="32"/>
          <w:szCs w:val="32"/>
        </w:rPr>
        <w:t>一是访民企促发展</w:t>
      </w:r>
      <w:r>
        <w:rPr>
          <w:rFonts w:hint="eastAsia" w:ascii="仿宋" w:hAnsi="仿宋" w:eastAsia="仿宋" w:cs="仿宋"/>
          <w:b/>
          <w:bCs/>
          <w:sz w:val="32"/>
          <w:szCs w:val="32"/>
        </w:rPr>
        <w:t>。</w:t>
      </w:r>
      <w:r>
        <w:rPr>
          <w:rFonts w:hint="eastAsia" w:ascii="仿宋" w:hAnsi="仿宋" w:eastAsia="仿宋" w:cs="仿宋"/>
          <w:sz w:val="32"/>
          <w:szCs w:val="32"/>
        </w:rPr>
        <w:t>开展“访民企、解难题、促发展、强信心”调研活动，帮助民营企业发展新质生产力。组织企业参加</w:t>
      </w:r>
      <w:r>
        <w:rPr>
          <w:rFonts w:hint="eastAsia" w:ascii="仿宋" w:hAnsi="仿宋" w:eastAsia="仿宋" w:cs="仿宋"/>
          <w:sz w:val="32"/>
          <w:szCs w:val="32"/>
          <w:lang w:eastAsia="zh-CN"/>
        </w:rPr>
        <w:t>湖南省</w:t>
      </w:r>
      <w:r>
        <w:rPr>
          <w:rFonts w:hint="eastAsia" w:ascii="仿宋" w:hAnsi="仿宋" w:eastAsia="仿宋" w:cs="仿宋"/>
          <w:sz w:val="32"/>
          <w:szCs w:val="32"/>
        </w:rPr>
        <w:t>营商环境主体评价，</w:t>
      </w:r>
      <w:r>
        <w:rPr>
          <w:rFonts w:hint="eastAsia" w:ascii="仿宋" w:hAnsi="仿宋" w:eastAsia="仿宋" w:cs="仿宋"/>
          <w:sz w:val="32"/>
          <w:szCs w:val="32"/>
          <w:lang w:eastAsia="zh-CN"/>
        </w:rPr>
        <w:t>召开常宁市家居行业补链强链座谈会，</w:t>
      </w:r>
      <w:r>
        <w:rPr>
          <w:rFonts w:hint="eastAsia" w:ascii="仿宋" w:hAnsi="仿宋" w:eastAsia="仿宋" w:cs="仿宋"/>
          <w:sz w:val="32"/>
          <w:szCs w:val="32"/>
        </w:rPr>
        <w:t>及时向市委、市政府反馈相关情况，</w:t>
      </w:r>
      <w:r>
        <w:rPr>
          <w:rFonts w:hint="eastAsia" w:ascii="仿宋" w:hAnsi="仿宋" w:eastAsia="仿宋" w:cs="仿宋"/>
          <w:sz w:val="32"/>
          <w:szCs w:val="32"/>
          <w:lang w:eastAsia="zh-CN"/>
        </w:rPr>
        <w:t>积极为异地商会会员子女就学等问题提供服务，</w:t>
      </w:r>
      <w:r>
        <w:rPr>
          <w:rFonts w:hint="eastAsia" w:ascii="仿宋" w:hAnsi="仿宋" w:eastAsia="仿宋" w:cs="仿宋"/>
          <w:sz w:val="32"/>
          <w:szCs w:val="32"/>
        </w:rPr>
        <w:t>为</w:t>
      </w:r>
      <w:r>
        <w:rPr>
          <w:rFonts w:hint="eastAsia" w:ascii="仿宋" w:hAnsi="仿宋" w:eastAsia="仿宋" w:cs="仿宋"/>
          <w:sz w:val="32"/>
          <w:szCs w:val="32"/>
          <w:lang w:eastAsia="zh-CN"/>
        </w:rPr>
        <w:t>民营</w:t>
      </w:r>
      <w:r>
        <w:rPr>
          <w:rFonts w:hint="eastAsia" w:ascii="仿宋" w:hAnsi="仿宋" w:eastAsia="仿宋" w:cs="仿宋"/>
          <w:sz w:val="32"/>
          <w:szCs w:val="32"/>
        </w:rPr>
        <w:t>企业</w:t>
      </w:r>
      <w:r>
        <w:rPr>
          <w:rFonts w:hint="eastAsia" w:ascii="仿宋" w:hAnsi="仿宋" w:eastAsia="仿宋" w:cs="仿宋"/>
          <w:sz w:val="32"/>
          <w:szCs w:val="32"/>
          <w:lang w:eastAsia="zh-CN"/>
        </w:rPr>
        <w:t>和民营经济人士</w:t>
      </w:r>
      <w:r>
        <w:rPr>
          <w:rFonts w:hint="eastAsia" w:ascii="仿宋" w:hAnsi="仿宋" w:eastAsia="仿宋" w:cs="仿宋"/>
          <w:sz w:val="32"/>
          <w:szCs w:val="32"/>
        </w:rPr>
        <w:t>解决实际问题。</w:t>
      </w:r>
      <w:r>
        <w:rPr>
          <w:rFonts w:hint="eastAsia" w:ascii="楷体" w:hAnsi="楷体" w:eastAsia="楷体" w:cs="楷体"/>
          <w:sz w:val="32"/>
          <w:szCs w:val="32"/>
        </w:rPr>
        <w:t>二是积极参与县域经济发展建设</w:t>
      </w:r>
      <w:r>
        <w:rPr>
          <w:rFonts w:hint="eastAsia" w:ascii="仿宋" w:hAnsi="仿宋" w:eastAsia="仿宋" w:cs="仿宋"/>
          <w:sz w:val="32"/>
          <w:szCs w:val="32"/>
        </w:rPr>
        <w:t>。支持各级商会切实发挥好市情推介、招商引资平台作用，为两个“千亿级”产业园助力；</w:t>
      </w:r>
      <w:r>
        <w:rPr>
          <w:rFonts w:hint="eastAsia" w:ascii="仿宋" w:hAnsi="仿宋" w:eastAsia="仿宋" w:cs="仿宋"/>
          <w:sz w:val="32"/>
          <w:szCs w:val="32"/>
          <w:lang w:eastAsia="zh-CN"/>
        </w:rPr>
        <w:t>以工商联界政协委员联络组名议提出“关于进一步完善优化营商环境和行政效能测评工作机制的建议”，立案并交市优化办办理</w:t>
      </w:r>
      <w:r>
        <w:rPr>
          <w:rFonts w:hint="eastAsia" w:ascii="仿宋" w:hAnsi="仿宋" w:eastAsia="仿宋" w:cs="仿宋"/>
          <w:sz w:val="32"/>
          <w:szCs w:val="32"/>
        </w:rPr>
        <w:t>；组织本地企业参加“湘台会”“湘商会”“农博会”等活动，并以异地商会为窗口，为本地农特产品走出常宁积极贡献</w:t>
      </w:r>
      <w:r>
        <w:rPr>
          <w:rFonts w:hint="eastAsia" w:ascii="仿宋" w:hAnsi="仿宋" w:eastAsia="仿宋" w:cs="仿宋"/>
          <w:sz w:val="32"/>
          <w:szCs w:val="32"/>
          <w:lang w:eastAsia="zh-CN"/>
        </w:rPr>
        <w:t>工商联</w:t>
      </w:r>
      <w:r>
        <w:rPr>
          <w:rFonts w:hint="eastAsia" w:ascii="仿宋" w:hAnsi="仿宋" w:eastAsia="仿宋" w:cs="仿宋"/>
          <w:sz w:val="32"/>
          <w:szCs w:val="32"/>
        </w:rPr>
        <w:t>力量。</w:t>
      </w:r>
      <w:r>
        <w:rPr>
          <w:rFonts w:hint="eastAsia" w:ascii="楷体" w:hAnsi="楷体" w:eastAsia="楷体" w:cs="楷体"/>
          <w:sz w:val="32"/>
          <w:szCs w:val="32"/>
        </w:rPr>
        <w:t>三是积极推进银企合作</w:t>
      </w:r>
      <w:r>
        <w:rPr>
          <w:rFonts w:hint="eastAsia" w:ascii="仿宋" w:hAnsi="仿宋" w:eastAsia="仿宋" w:cs="仿宋"/>
          <w:b/>
          <w:bCs/>
          <w:sz w:val="32"/>
          <w:szCs w:val="32"/>
        </w:rPr>
        <w:t>。</w:t>
      </w:r>
      <w:r>
        <w:rPr>
          <w:rFonts w:hint="eastAsia" w:ascii="仿宋" w:hAnsi="仿宋" w:eastAsia="仿宋" w:cs="仿宋"/>
          <w:color w:val="000000"/>
          <w:sz w:val="32"/>
          <w:szCs w:val="32"/>
        </w:rPr>
        <w:t>积极</w:t>
      </w:r>
      <w:r>
        <w:rPr>
          <w:rFonts w:hint="eastAsia" w:ascii="仿宋" w:hAnsi="仿宋" w:eastAsia="仿宋" w:cs="仿宋"/>
          <w:sz w:val="32"/>
          <w:szCs w:val="32"/>
        </w:rPr>
        <w:t>与市农商行多次协商，推出“50亿助推乡村振兴”专项金融产品（根据用户信用定利率4.35-6</w:t>
      </w:r>
      <w:r>
        <w:rPr>
          <w:rFonts w:ascii="Arial" w:hAnsi="Arial" w:eastAsia="仿宋" w:cs="Arial"/>
          <w:sz w:val="32"/>
          <w:szCs w:val="32"/>
        </w:rPr>
        <w:t>‰</w:t>
      </w:r>
      <w:r>
        <w:rPr>
          <w:rFonts w:hint="eastAsia" w:ascii="仿宋" w:hAnsi="仿宋" w:eastAsia="仿宋" w:cs="仿宋"/>
          <w:sz w:val="32"/>
          <w:szCs w:val="32"/>
        </w:rPr>
        <w:t>），专门为中小企业参与乡村振兴保驾护航，目前已发放贷款2.1亿。在2024年“迎老乡 回故乡 建家乡”新春恳谈会上，常宁农商银行向广东省湖南常宁商会、东莞市湖南常宁商会等13个异地商会累计授信39亿元。</w:t>
      </w:r>
      <w:r>
        <w:rPr>
          <w:rFonts w:hint="eastAsia" w:ascii="楷体" w:hAnsi="楷体" w:eastAsia="楷体" w:cs="楷体"/>
          <w:sz w:val="32"/>
          <w:szCs w:val="32"/>
        </w:rPr>
        <w:t>四是拓宽参政议政平台</w:t>
      </w:r>
      <w:r>
        <w:rPr>
          <w:rFonts w:hint="eastAsia" w:ascii="仿宋" w:hAnsi="仿宋" w:eastAsia="仿宋" w:cs="仿宋"/>
          <w:b/>
          <w:bCs/>
          <w:sz w:val="32"/>
          <w:szCs w:val="32"/>
        </w:rPr>
        <w:t>。</w:t>
      </w:r>
      <w:r>
        <w:rPr>
          <w:rFonts w:hint="eastAsia" w:ascii="仿宋" w:hAnsi="仿宋" w:eastAsia="仿宋" w:cs="仿宋"/>
          <w:sz w:val="32"/>
          <w:szCs w:val="32"/>
        </w:rPr>
        <w:t>积极配合市委统战部向各级人大、政协</w:t>
      </w:r>
      <w:r>
        <w:rPr>
          <w:rFonts w:hint="eastAsia" w:ascii="仿宋" w:hAnsi="仿宋" w:eastAsia="仿宋" w:cs="仿宋"/>
          <w:sz w:val="32"/>
          <w:szCs w:val="32"/>
          <w:lang w:eastAsia="zh-CN"/>
        </w:rPr>
        <w:t>、省光彩会</w:t>
      </w:r>
      <w:r>
        <w:rPr>
          <w:rFonts w:hint="eastAsia" w:ascii="仿宋" w:hAnsi="仿宋" w:eastAsia="仿宋" w:cs="仿宋"/>
          <w:sz w:val="32"/>
          <w:szCs w:val="32"/>
        </w:rPr>
        <w:t>推荐非公</w:t>
      </w:r>
      <w:r>
        <w:rPr>
          <w:rFonts w:hint="eastAsia" w:ascii="仿宋" w:hAnsi="仿宋" w:eastAsia="仿宋" w:cs="仿宋"/>
          <w:sz w:val="32"/>
          <w:szCs w:val="32"/>
          <w:lang w:eastAsia="zh-CN"/>
        </w:rPr>
        <w:t>代表人士</w:t>
      </w:r>
      <w:r>
        <w:rPr>
          <w:rFonts w:hint="eastAsia" w:ascii="仿宋" w:hAnsi="仿宋" w:eastAsia="仿宋" w:cs="仿宋"/>
          <w:sz w:val="32"/>
          <w:szCs w:val="32"/>
        </w:rPr>
        <w:t>。组织会员中的人大代表、政协委员就常宁中心工作积极参政议政。清明</w:t>
      </w:r>
      <w:r>
        <w:rPr>
          <w:rFonts w:hint="eastAsia" w:ascii="仿宋" w:hAnsi="仿宋" w:eastAsia="仿宋" w:cs="仿宋"/>
          <w:sz w:val="32"/>
          <w:szCs w:val="32"/>
          <w:lang w:eastAsia="zh-CN"/>
        </w:rPr>
        <w:t>前后、教师节</w:t>
      </w:r>
      <w:r>
        <w:rPr>
          <w:rFonts w:hint="eastAsia" w:ascii="仿宋" w:hAnsi="仿宋" w:eastAsia="仿宋" w:cs="仿宋"/>
          <w:sz w:val="32"/>
          <w:szCs w:val="32"/>
        </w:rPr>
        <w:t>，</w:t>
      </w:r>
      <w:r>
        <w:rPr>
          <w:rFonts w:hint="eastAsia" w:ascii="仿宋" w:hAnsi="仿宋" w:eastAsia="仿宋" w:cs="仿宋"/>
          <w:sz w:val="32"/>
          <w:szCs w:val="32"/>
          <w:lang w:eastAsia="zh-CN"/>
        </w:rPr>
        <w:t>协助开展</w:t>
      </w:r>
      <w:r>
        <w:rPr>
          <w:rFonts w:hint="eastAsia" w:ascii="仿宋" w:hAnsi="仿宋" w:eastAsia="仿宋" w:cs="仿宋"/>
          <w:sz w:val="32"/>
          <w:szCs w:val="32"/>
        </w:rPr>
        <w:t>“品茗怀祖茶话会”</w:t>
      </w:r>
      <w:r>
        <w:rPr>
          <w:rFonts w:hint="eastAsia" w:ascii="仿宋" w:hAnsi="仿宋" w:eastAsia="仿宋" w:cs="仿宋"/>
          <w:sz w:val="32"/>
          <w:szCs w:val="32"/>
          <w:lang w:eastAsia="zh-CN"/>
        </w:rPr>
        <w:t>“常宁市爱心企业家兴教助学工作座谈会”</w:t>
      </w:r>
      <w:r>
        <w:rPr>
          <w:rFonts w:hint="eastAsia" w:ascii="仿宋" w:hAnsi="仿宋" w:eastAsia="仿宋" w:cs="仿宋"/>
          <w:sz w:val="32"/>
          <w:szCs w:val="32"/>
        </w:rPr>
        <w:t>，邀请常宁籍企业家回故乡，为家乡发展献言献策。</w:t>
      </w:r>
    </w:p>
    <w:p>
      <w:pPr>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承担社会责任，引导民营企业回报社会</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一是积极投身乡村振兴</w:t>
      </w:r>
      <w:r>
        <w:rPr>
          <w:rFonts w:hint="eastAsia" w:ascii="仿宋" w:hAnsi="仿宋" w:eastAsia="仿宋" w:cs="仿宋"/>
          <w:b/>
          <w:bCs/>
          <w:sz w:val="32"/>
          <w:szCs w:val="32"/>
        </w:rPr>
        <w:t>。</w:t>
      </w:r>
      <w:r>
        <w:rPr>
          <w:rFonts w:hint="eastAsia" w:ascii="仿宋" w:hAnsi="仿宋" w:eastAsia="仿宋" w:cs="仿宋"/>
          <w:sz w:val="32"/>
          <w:szCs w:val="32"/>
        </w:rPr>
        <w:t>开展“万企兴万村”行动以来，先后召开工商联班子会、常委会进行推进和调度，</w:t>
      </w:r>
      <w:r>
        <w:rPr>
          <w:rFonts w:hint="eastAsia" w:ascii="仿宋" w:hAnsi="仿宋" w:eastAsia="仿宋" w:cs="仿宋"/>
          <w:color w:val="000000"/>
          <w:sz w:val="32"/>
          <w:szCs w:val="32"/>
        </w:rPr>
        <w:t>工商联（总商会）兼职副主席（副会长）和直属商协会已全部响应，部分执常委也积极参与行动。结对村以脱贫村、美丽乡村建设示范村为主，</w:t>
      </w:r>
      <w:r>
        <w:rPr>
          <w:rFonts w:hint="eastAsia" w:ascii="仿宋" w:hAnsi="仿宋" w:eastAsia="仿宋" w:cs="仿宋"/>
          <w:sz w:val="32"/>
          <w:szCs w:val="32"/>
        </w:rPr>
        <w:t>通过产业帮扶、就业帮扶、消费帮扶等方式，培育本土乡村振兴产业项目90个，实际到位资金近2.4亿。其中创建衡阳市级实验项目2个，打造常宁市级实验项目35个。</w:t>
      </w:r>
      <w:r>
        <w:rPr>
          <w:rFonts w:hint="eastAsia" w:ascii="楷体" w:hAnsi="楷体" w:eastAsia="楷体" w:cs="楷体"/>
          <w:sz w:val="32"/>
          <w:szCs w:val="32"/>
        </w:rPr>
        <w:t>二是持续融入光彩事业</w:t>
      </w:r>
      <w:r>
        <w:rPr>
          <w:rFonts w:hint="eastAsia" w:ascii="仿宋" w:hAnsi="仿宋" w:eastAsia="仿宋" w:cs="仿宋"/>
          <w:b/>
          <w:bCs/>
          <w:sz w:val="32"/>
          <w:szCs w:val="32"/>
        </w:rPr>
        <w:t>。</w:t>
      </w:r>
      <w:r>
        <w:rPr>
          <w:rFonts w:hint="eastAsia" w:ascii="仿宋" w:hAnsi="仿宋" w:eastAsia="仿宋" w:cs="仿宋"/>
          <w:sz w:val="32"/>
          <w:szCs w:val="32"/>
        </w:rPr>
        <w:t>引导会员积极参与社会慈善公益事业。在每年的“六一”儿童节、“重阳”老</w:t>
      </w:r>
      <w:r>
        <w:rPr>
          <w:rFonts w:hint="eastAsia" w:ascii="仿宋" w:hAnsi="仿宋" w:eastAsia="仿宋" w:cs="仿宋"/>
          <w:sz w:val="32"/>
          <w:szCs w:val="32"/>
          <w:lang w:eastAsia="zh-CN"/>
        </w:rPr>
        <w:t>年</w:t>
      </w:r>
      <w:r>
        <w:rPr>
          <w:rFonts w:hint="eastAsia" w:ascii="仿宋" w:hAnsi="仿宋" w:eastAsia="仿宋" w:cs="仿宋"/>
          <w:sz w:val="32"/>
          <w:szCs w:val="32"/>
        </w:rPr>
        <w:t>节，组织会员企业到福利院、敬老院开展慰问活动，为儿童、老人送去慰问金或礼品。持续打造“金秋助学</w:t>
      </w:r>
      <w:r>
        <w:rPr>
          <w:rFonts w:hint="eastAsia" w:ascii="仿宋" w:hAnsi="仿宋" w:eastAsia="仿宋" w:cs="仿宋"/>
          <w:sz w:val="32"/>
          <w:szCs w:val="32"/>
          <w:lang w:eastAsia="zh-CN"/>
        </w:rPr>
        <w:t>行动</w:t>
      </w:r>
      <w:r>
        <w:rPr>
          <w:rFonts w:hint="eastAsia" w:ascii="仿宋" w:hAnsi="仿宋" w:eastAsia="仿宋" w:cs="仿宋"/>
          <w:sz w:val="32"/>
          <w:szCs w:val="32"/>
        </w:rPr>
        <w:t>”品牌，2024年度共募集资金90万余元，资助110名大学生，50名高中生。长沙市常宁商会到盐湖中学开展捐资助学活动，现场向10名贫困学</w:t>
      </w:r>
      <w:r>
        <w:rPr>
          <w:rFonts w:hint="eastAsia" w:ascii="仿宋" w:hAnsi="仿宋" w:eastAsia="仿宋" w:cs="仿宋"/>
          <w:sz w:val="32"/>
          <w:szCs w:val="32"/>
          <w:lang w:eastAsia="zh-CN"/>
        </w:rPr>
        <w:t>子</w:t>
      </w:r>
      <w:r>
        <w:rPr>
          <w:rFonts w:hint="eastAsia" w:ascii="仿宋" w:hAnsi="仿宋" w:eastAsia="仿宋" w:cs="仿宋"/>
          <w:sz w:val="32"/>
          <w:szCs w:val="32"/>
        </w:rPr>
        <w:t>捐助每人一千元助学金。同时为盐湖中学捐资建设阅览室和图书室，预计总价值28万余元。</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五、加强自身建设，提升服务民营经济水平</w:t>
      </w:r>
    </w:p>
    <w:p>
      <w:pPr>
        <w:ind w:firstLine="640" w:firstLineChars="200"/>
        <w:rPr>
          <w:rFonts w:hint="default" w:ascii="仿宋" w:hAnsi="仿宋" w:eastAsia="仿宋" w:cs="仿宋"/>
          <w:sz w:val="32"/>
          <w:szCs w:val="32"/>
          <w:lang w:val="en-US" w:eastAsia="zh-CN"/>
        </w:rPr>
      </w:pPr>
      <w:bookmarkStart w:id="0" w:name="_GoBack"/>
      <w:bookmarkEnd w:id="0"/>
      <w:r>
        <w:rPr>
          <w:rFonts w:hint="eastAsia" w:ascii="楷体" w:hAnsi="楷体" w:eastAsia="楷体" w:cs="楷体"/>
          <w:sz w:val="32"/>
          <w:szCs w:val="32"/>
          <w:lang w:eastAsia="zh-CN"/>
        </w:rPr>
        <w:t>一是加强组织建设</w:t>
      </w:r>
      <w:r>
        <w:rPr>
          <w:rFonts w:hint="eastAsia" w:ascii="仿宋" w:hAnsi="仿宋" w:eastAsia="仿宋" w:cs="仿宋"/>
          <w:sz w:val="32"/>
          <w:szCs w:val="32"/>
          <w:lang w:eastAsia="zh-CN"/>
        </w:rPr>
        <w:t>。</w:t>
      </w:r>
      <w:r>
        <w:rPr>
          <w:rFonts w:hint="eastAsia" w:ascii="仿宋_GB2312" w:hAnsi="仿宋_GB2312" w:eastAsia="仿宋_GB2312" w:cs="仿宋_GB2312"/>
          <w:color w:val="auto"/>
          <w:sz w:val="32"/>
          <w:szCs w:val="32"/>
        </w:rPr>
        <w:t>今年我会</w:t>
      </w:r>
      <w:r>
        <w:rPr>
          <w:rFonts w:hint="eastAsia" w:ascii="仿宋_GB2312" w:hAnsi="仿宋_GB2312" w:eastAsia="仿宋_GB2312" w:cs="仿宋_GB2312"/>
          <w:color w:val="auto"/>
          <w:sz w:val="32"/>
          <w:szCs w:val="32"/>
          <w:lang w:val="en-US" w:eastAsia="zh-CN"/>
        </w:rPr>
        <w:t>新发展会员</w:t>
      </w:r>
      <w:r>
        <w:rPr>
          <w:rFonts w:hint="eastAsia" w:ascii="Times New Roman" w:hAnsi="Times New Roman" w:eastAsia="仿宋_GB2312" w:cs="Times New Roman"/>
          <w:color w:val="auto"/>
          <w:sz w:val="32"/>
          <w:szCs w:val="32"/>
          <w:lang w:val="en-US" w:eastAsia="zh-CN"/>
        </w:rPr>
        <w:t>36</w:t>
      </w:r>
      <w:r>
        <w:rPr>
          <w:rFonts w:hint="eastAsia" w:ascii="仿宋_GB2312" w:hAnsi="仿宋_GB2312" w:eastAsia="仿宋_GB2312" w:cs="仿宋_GB2312"/>
          <w:color w:val="auto"/>
          <w:sz w:val="32"/>
          <w:szCs w:val="32"/>
          <w:lang w:val="en-US" w:eastAsia="zh-CN"/>
        </w:rPr>
        <w:t>家。联络吸引了一批有实力、热爱工商联事业的非公人士为作执常委预备人选。</w:t>
      </w:r>
      <w:r>
        <w:rPr>
          <w:rFonts w:hint="eastAsia" w:ascii="楷体" w:hAnsi="楷体" w:eastAsia="楷体" w:cs="楷体"/>
          <w:sz w:val="32"/>
          <w:szCs w:val="32"/>
          <w:lang w:val="en-US" w:eastAsia="zh-CN"/>
        </w:rPr>
        <w:t>二是</w:t>
      </w:r>
      <w:r>
        <w:rPr>
          <w:rFonts w:hint="eastAsia" w:ascii="楷体" w:hAnsi="楷体" w:eastAsia="楷体" w:cs="楷体"/>
          <w:sz w:val="32"/>
          <w:szCs w:val="32"/>
          <w:lang w:eastAsia="zh-CN"/>
        </w:rPr>
        <w:t>加强队伍建设</w:t>
      </w:r>
      <w:r>
        <w:rPr>
          <w:rFonts w:hint="eastAsia" w:ascii="仿宋" w:hAnsi="仿宋" w:eastAsia="仿宋" w:cs="仿宋"/>
          <w:sz w:val="32"/>
          <w:szCs w:val="32"/>
          <w:lang w:eastAsia="zh-CN"/>
        </w:rPr>
        <w:t>。加强干部学习培训，</w:t>
      </w:r>
      <w:r>
        <w:rPr>
          <w:rFonts w:hint="eastAsia" w:ascii="仿宋_GB2312" w:hAnsi="宋体" w:eastAsia="仿宋_GB2312" w:cs="仿宋_GB2312"/>
          <w:color w:val="333333"/>
          <w:sz w:val="33"/>
          <w:szCs w:val="33"/>
          <w:shd w:val="clear" w:color="auto" w:fill="FFFFFF"/>
        </w:rPr>
        <w:t>全年共组织理论学习中心组集中学习17次。</w:t>
      </w:r>
      <w:r>
        <w:rPr>
          <w:rFonts w:hint="eastAsia" w:ascii="仿宋" w:hAnsi="仿宋" w:eastAsia="仿宋" w:cs="仿宋"/>
          <w:sz w:val="32"/>
          <w:szCs w:val="32"/>
          <w:lang w:eastAsia="zh-CN"/>
        </w:rPr>
        <w:t>提升了服务能力和水平，打造高素质的工商联工作队伍。</w:t>
      </w:r>
      <w:r>
        <w:rPr>
          <w:rFonts w:hint="eastAsia" w:ascii="楷体" w:hAnsi="楷体" w:eastAsia="楷体" w:cs="楷体"/>
          <w:sz w:val="32"/>
          <w:szCs w:val="32"/>
          <w:lang w:eastAsia="zh-CN"/>
        </w:rPr>
        <w:t>三是</w:t>
      </w:r>
      <w:r>
        <w:rPr>
          <w:rFonts w:hint="eastAsia" w:ascii="楷体" w:hAnsi="楷体" w:eastAsia="楷体" w:cs="楷体"/>
          <w:sz w:val="32"/>
          <w:szCs w:val="32"/>
          <w:lang w:val="en-US" w:eastAsia="zh-CN"/>
        </w:rPr>
        <w:t>加强巡察整改。</w:t>
      </w:r>
      <w:r>
        <w:rPr>
          <w:rFonts w:hint="eastAsia" w:ascii="仿宋" w:hAnsi="仿宋" w:eastAsia="仿宋" w:cs="仿宋"/>
          <w:sz w:val="32"/>
          <w:szCs w:val="32"/>
          <w:lang w:val="en-US" w:eastAsia="zh-CN"/>
        </w:rPr>
        <w:t>自开展巡察整改以来，市工商联召开落实巡察整改调度工作会议4次，约谈相关人员7人次，建立健全机关管理制度14个。巡察反馈问题9个，已完成9个，移交问题和信访件0件。把巡察整改成果转化为推动工商联高质量发展实效。</w:t>
      </w:r>
    </w:p>
    <w:p>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下一步改进措施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加强绩效管理理念，将资金预算安排与绩效目标相结合，根据单位上年工作完成情况和下年度工作计划或中长期规划，细化、量化年初绩效目标，并将绩效目标与资金分配挂钩。</w:t>
      </w:r>
    </w:p>
    <w:p>
      <w:pPr>
        <w:keepNext/>
        <w:keepLines/>
        <w:pageBreakBefore w:val="0"/>
        <w:widowControl w:val="0"/>
        <w:numPr>
          <w:ilvl w:val="0"/>
          <w:numId w:val="1"/>
        </w:numPr>
        <w:kinsoku/>
        <w:wordWrap/>
        <w:overflowPunct/>
        <w:topLinePunct w:val="0"/>
        <w:autoSpaceDE/>
        <w:autoSpaceDN/>
        <w:bidi w:val="0"/>
        <w:adjustRightInd/>
        <w:spacing w:line="240" w:lineRule="auto"/>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其他需要说明的情况</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仿宋" w:hAnsi="仿宋" w:eastAsia="仿宋" w:cs="仿宋"/>
          <w:sz w:val="32"/>
          <w:szCs w:val="32"/>
          <w:lang w:val="en-US" w:eastAsia="zh-CN"/>
        </w:rPr>
        <w:t>无</w:t>
      </w:r>
    </w:p>
    <w:p>
      <w:pPr>
        <w:snapToGrid w:val="0"/>
        <w:spacing w:line="580" w:lineRule="exact"/>
        <w:ind w:firstLine="600" w:firstLineChars="200"/>
        <w:jc w:val="right"/>
        <w:rPr>
          <w:rFonts w:hint="eastAsia" w:ascii="仿宋" w:hAnsi="仿宋" w:eastAsia="仿宋" w:cs="仿宋"/>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BA8D1"/>
    <w:multiLevelType w:val="singleLevel"/>
    <w:tmpl w:val="D89BA8D1"/>
    <w:lvl w:ilvl="0" w:tentative="0">
      <w:start w:val="1"/>
      <w:numFmt w:val="chineseCounting"/>
      <w:suff w:val="nothing"/>
      <w:lvlText w:val="（%1）"/>
      <w:lvlJc w:val="left"/>
      <w:rPr>
        <w:rFonts w:hint="eastAsia"/>
      </w:rPr>
    </w:lvl>
  </w:abstractNum>
  <w:abstractNum w:abstractNumId="1">
    <w:nsid w:val="ECE3C20C"/>
    <w:multiLevelType w:val="singleLevel"/>
    <w:tmpl w:val="ECE3C20C"/>
    <w:lvl w:ilvl="0" w:tentative="0">
      <w:start w:val="1"/>
      <w:numFmt w:val="chineseCounting"/>
      <w:suff w:val="nothing"/>
      <w:lvlText w:val="%1、"/>
      <w:lvlJc w:val="left"/>
      <w:pPr>
        <w:ind w:left="-3"/>
      </w:pPr>
      <w:rPr>
        <w:rFonts w:hint="eastAsia"/>
      </w:rPr>
    </w:lvl>
  </w:abstractNum>
  <w:abstractNum w:abstractNumId="2">
    <w:nsid w:val="5076FBE0"/>
    <w:multiLevelType w:val="singleLevel"/>
    <w:tmpl w:val="5076FBE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WM0MDg5MmM3OTVkZTBjMjNlNDA3OTk4MGI0MjQ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C2557"/>
    <w:rsid w:val="002E5562"/>
    <w:rsid w:val="002F6705"/>
    <w:rsid w:val="00301FC0"/>
    <w:rsid w:val="00336A16"/>
    <w:rsid w:val="003663A3"/>
    <w:rsid w:val="00387DD5"/>
    <w:rsid w:val="003B0980"/>
    <w:rsid w:val="003C6374"/>
    <w:rsid w:val="003D2CB9"/>
    <w:rsid w:val="00413F12"/>
    <w:rsid w:val="0048585D"/>
    <w:rsid w:val="00493012"/>
    <w:rsid w:val="004D2137"/>
    <w:rsid w:val="005D1514"/>
    <w:rsid w:val="005D7CC3"/>
    <w:rsid w:val="006218A1"/>
    <w:rsid w:val="00682A10"/>
    <w:rsid w:val="006A30E4"/>
    <w:rsid w:val="006A74BF"/>
    <w:rsid w:val="006C1CEE"/>
    <w:rsid w:val="006D30B3"/>
    <w:rsid w:val="006D5A86"/>
    <w:rsid w:val="00707C2E"/>
    <w:rsid w:val="00722A7D"/>
    <w:rsid w:val="00724A6B"/>
    <w:rsid w:val="0073331B"/>
    <w:rsid w:val="00733C2D"/>
    <w:rsid w:val="00756C7F"/>
    <w:rsid w:val="00760106"/>
    <w:rsid w:val="007D7E6E"/>
    <w:rsid w:val="00850797"/>
    <w:rsid w:val="00853FC4"/>
    <w:rsid w:val="008720F1"/>
    <w:rsid w:val="00882EFA"/>
    <w:rsid w:val="008A3578"/>
    <w:rsid w:val="008B2F56"/>
    <w:rsid w:val="008F0996"/>
    <w:rsid w:val="00903791"/>
    <w:rsid w:val="009600BD"/>
    <w:rsid w:val="00961C83"/>
    <w:rsid w:val="009922BC"/>
    <w:rsid w:val="009E0D8C"/>
    <w:rsid w:val="00A02AF3"/>
    <w:rsid w:val="00A25077"/>
    <w:rsid w:val="00A610CC"/>
    <w:rsid w:val="00A8737E"/>
    <w:rsid w:val="00A90AEE"/>
    <w:rsid w:val="00AA19AF"/>
    <w:rsid w:val="00BC6882"/>
    <w:rsid w:val="00BD3FE0"/>
    <w:rsid w:val="00BE58CF"/>
    <w:rsid w:val="00CA5578"/>
    <w:rsid w:val="00CA7DAA"/>
    <w:rsid w:val="00D04826"/>
    <w:rsid w:val="00D63908"/>
    <w:rsid w:val="00D8718A"/>
    <w:rsid w:val="00D93453"/>
    <w:rsid w:val="00DC524D"/>
    <w:rsid w:val="00DF3633"/>
    <w:rsid w:val="00E071D6"/>
    <w:rsid w:val="00E74EF1"/>
    <w:rsid w:val="00ED3E0F"/>
    <w:rsid w:val="00F015E4"/>
    <w:rsid w:val="00F57F82"/>
    <w:rsid w:val="00F75224"/>
    <w:rsid w:val="00F91EAE"/>
    <w:rsid w:val="00FA086C"/>
    <w:rsid w:val="00FA2093"/>
    <w:rsid w:val="00FA357A"/>
    <w:rsid w:val="01BB3CD7"/>
    <w:rsid w:val="02E81CE7"/>
    <w:rsid w:val="037D0BC8"/>
    <w:rsid w:val="04611352"/>
    <w:rsid w:val="07E81E49"/>
    <w:rsid w:val="0845082D"/>
    <w:rsid w:val="09880D74"/>
    <w:rsid w:val="09D23567"/>
    <w:rsid w:val="09E965F2"/>
    <w:rsid w:val="0FF7AA4F"/>
    <w:rsid w:val="10A13F42"/>
    <w:rsid w:val="10DF2A1F"/>
    <w:rsid w:val="139840D3"/>
    <w:rsid w:val="13CD6931"/>
    <w:rsid w:val="143E091F"/>
    <w:rsid w:val="14865FC8"/>
    <w:rsid w:val="150C2DB0"/>
    <w:rsid w:val="15A24B3A"/>
    <w:rsid w:val="16474597"/>
    <w:rsid w:val="19A5109C"/>
    <w:rsid w:val="1A7D29EA"/>
    <w:rsid w:val="1D994BCF"/>
    <w:rsid w:val="1E136CA9"/>
    <w:rsid w:val="1E761F05"/>
    <w:rsid w:val="1F7BE1E6"/>
    <w:rsid w:val="1FC7205C"/>
    <w:rsid w:val="228B3D05"/>
    <w:rsid w:val="24E820E9"/>
    <w:rsid w:val="259B27F9"/>
    <w:rsid w:val="26323CB8"/>
    <w:rsid w:val="264A5902"/>
    <w:rsid w:val="279F537D"/>
    <w:rsid w:val="284E74F8"/>
    <w:rsid w:val="28F821AF"/>
    <w:rsid w:val="2ADB48E8"/>
    <w:rsid w:val="2DA245E5"/>
    <w:rsid w:val="3076553A"/>
    <w:rsid w:val="323628D3"/>
    <w:rsid w:val="343F23BC"/>
    <w:rsid w:val="36687282"/>
    <w:rsid w:val="367793B2"/>
    <w:rsid w:val="369B0C8F"/>
    <w:rsid w:val="3794FC37"/>
    <w:rsid w:val="385D37E7"/>
    <w:rsid w:val="38EF7AD8"/>
    <w:rsid w:val="3E1672E6"/>
    <w:rsid w:val="3EB9C2BB"/>
    <w:rsid w:val="3F5C34BC"/>
    <w:rsid w:val="3FCF203E"/>
    <w:rsid w:val="3FEF6A07"/>
    <w:rsid w:val="415F08D8"/>
    <w:rsid w:val="41723177"/>
    <w:rsid w:val="426C6A3B"/>
    <w:rsid w:val="42B4482C"/>
    <w:rsid w:val="44E2230F"/>
    <w:rsid w:val="478B1022"/>
    <w:rsid w:val="47C72DCF"/>
    <w:rsid w:val="48B51347"/>
    <w:rsid w:val="491B45FA"/>
    <w:rsid w:val="4A55216A"/>
    <w:rsid w:val="4B4E7D51"/>
    <w:rsid w:val="4FE0696A"/>
    <w:rsid w:val="52A71CFB"/>
    <w:rsid w:val="52B521DF"/>
    <w:rsid w:val="52FE1E95"/>
    <w:rsid w:val="5330617C"/>
    <w:rsid w:val="546F8569"/>
    <w:rsid w:val="55673508"/>
    <w:rsid w:val="57790E65"/>
    <w:rsid w:val="59595A6F"/>
    <w:rsid w:val="596E5CC6"/>
    <w:rsid w:val="597350B8"/>
    <w:rsid w:val="599330CA"/>
    <w:rsid w:val="5A7FCB1F"/>
    <w:rsid w:val="5B7D4764"/>
    <w:rsid w:val="5D4D4B30"/>
    <w:rsid w:val="5E4853B5"/>
    <w:rsid w:val="5FEAF7C9"/>
    <w:rsid w:val="60CB36B3"/>
    <w:rsid w:val="60D5009F"/>
    <w:rsid w:val="633E16F6"/>
    <w:rsid w:val="64AC2E11"/>
    <w:rsid w:val="660721C9"/>
    <w:rsid w:val="661E6C75"/>
    <w:rsid w:val="67F75FF5"/>
    <w:rsid w:val="681D4831"/>
    <w:rsid w:val="692E4B19"/>
    <w:rsid w:val="69513EF7"/>
    <w:rsid w:val="6BEE17F5"/>
    <w:rsid w:val="6BF3256F"/>
    <w:rsid w:val="6BF95985"/>
    <w:rsid w:val="6C5C2C43"/>
    <w:rsid w:val="6C760A38"/>
    <w:rsid w:val="6CE7018A"/>
    <w:rsid w:val="6D094CC7"/>
    <w:rsid w:val="6E3E3F2D"/>
    <w:rsid w:val="6EAA487D"/>
    <w:rsid w:val="6F782E18"/>
    <w:rsid w:val="6F7B6738"/>
    <w:rsid w:val="712A5EF5"/>
    <w:rsid w:val="715B2F02"/>
    <w:rsid w:val="72F3690E"/>
    <w:rsid w:val="73802858"/>
    <w:rsid w:val="74CC6CCE"/>
    <w:rsid w:val="76A548F2"/>
    <w:rsid w:val="7765772E"/>
    <w:rsid w:val="776F5E62"/>
    <w:rsid w:val="77867685"/>
    <w:rsid w:val="77951FBF"/>
    <w:rsid w:val="77EE7FE7"/>
    <w:rsid w:val="781F36B6"/>
    <w:rsid w:val="790627AD"/>
    <w:rsid w:val="79DFF8C4"/>
    <w:rsid w:val="79F1701B"/>
    <w:rsid w:val="7A301431"/>
    <w:rsid w:val="7ADC59FA"/>
    <w:rsid w:val="7AFF2FC3"/>
    <w:rsid w:val="7B431629"/>
    <w:rsid w:val="7B7A77E1"/>
    <w:rsid w:val="7BF6B4C5"/>
    <w:rsid w:val="7D324F38"/>
    <w:rsid w:val="7D94764A"/>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5"/>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Times New Roman" w:hAnsi="Times New Roman" w:eastAsia="宋体" w:cs="Times New Roman"/>
    </w:rPr>
  </w:style>
  <w:style w:type="paragraph" w:styleId="5">
    <w:name w:val="Normal Indent"/>
    <w:basedOn w:val="1"/>
    <w:unhideWhenUsed/>
    <w:qFormat/>
    <w:uiPriority w:val="0"/>
    <w:pPr>
      <w:ind w:firstLine="880" w:firstLineChars="200"/>
    </w:pPr>
  </w:style>
  <w:style w:type="paragraph" w:styleId="6">
    <w:name w:val="Body Text"/>
    <w:basedOn w:val="1"/>
    <w:qFormat/>
    <w:uiPriority w:val="0"/>
    <w:rPr>
      <w:rFonts w:eastAsia="仿宋_GB2312"/>
      <w:sz w:val="32"/>
      <w:szCs w:val="20"/>
    </w:rPr>
  </w:style>
  <w:style w:type="paragraph" w:styleId="7">
    <w:name w:val="Body Text Indent"/>
    <w:basedOn w:val="1"/>
    <w:qFormat/>
    <w:uiPriority w:val="0"/>
    <w:pPr>
      <w:spacing w:after="120"/>
      <w:ind w:left="420" w:leftChars="200"/>
    </w:pPr>
  </w:style>
  <w:style w:type="paragraph" w:styleId="8">
    <w:name w:val="Balloon Text"/>
    <w:basedOn w:val="1"/>
    <w:link w:val="19"/>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next w:val="1"/>
    <w:qFormat/>
    <w:uiPriority w:val="0"/>
    <w:pPr>
      <w:spacing w:before="100" w:beforeAutospacing="1" w:after="0"/>
      <w:ind w:left="0" w:firstLine="420" w:firstLineChars="200"/>
    </w:pPr>
    <w:rPr>
      <w:rFonts w:ascii="Calibri" w:hAnsi="Calibri"/>
    </w:rPr>
  </w:style>
  <w:style w:type="character" w:styleId="15">
    <w:name w:val="Strong"/>
    <w:basedOn w:val="14"/>
    <w:qFormat/>
    <w:uiPriority w:val="0"/>
    <w:rPr>
      <w:b/>
    </w:rPr>
  </w:style>
  <w:style w:type="character" w:styleId="16">
    <w:name w:val="Emphasis"/>
    <w:basedOn w:val="14"/>
    <w:qFormat/>
    <w:uiPriority w:val="0"/>
    <w:rPr>
      <w:i/>
    </w:rPr>
  </w:style>
  <w:style w:type="character" w:customStyle="1" w:styleId="17">
    <w:name w:val="页脚 Char"/>
    <w:basedOn w:val="14"/>
    <w:link w:val="9"/>
    <w:qFormat/>
    <w:uiPriority w:val="99"/>
    <w:rPr>
      <w:rFonts w:eastAsia="仿宋_GB2312"/>
      <w:kern w:val="2"/>
      <w:sz w:val="18"/>
      <w:szCs w:val="18"/>
    </w:rPr>
  </w:style>
  <w:style w:type="character" w:customStyle="1" w:styleId="18">
    <w:name w:val="页眉 Char"/>
    <w:basedOn w:val="14"/>
    <w:link w:val="10"/>
    <w:qFormat/>
    <w:uiPriority w:val="0"/>
    <w:rPr>
      <w:rFonts w:eastAsia="仿宋_GB2312"/>
      <w:kern w:val="2"/>
      <w:sz w:val="18"/>
      <w:szCs w:val="18"/>
    </w:rPr>
  </w:style>
  <w:style w:type="character" w:customStyle="1" w:styleId="19">
    <w:name w:val="批注框文本 Char"/>
    <w:basedOn w:val="14"/>
    <w:link w:val="8"/>
    <w:qFormat/>
    <w:uiPriority w:val="0"/>
    <w:rPr>
      <w:rFonts w:eastAsia="仿宋_GB2312"/>
      <w:kern w:val="2"/>
      <w:sz w:val="18"/>
      <w:szCs w:val="18"/>
    </w:rPr>
  </w:style>
  <w:style w:type="character" w:customStyle="1" w:styleId="20">
    <w:name w:val="font41"/>
    <w:basedOn w:val="14"/>
    <w:qFormat/>
    <w:uiPriority w:val="0"/>
    <w:rPr>
      <w:rFonts w:hint="eastAsia" w:ascii="方正仿宋_GB2312" w:hAnsi="方正仿宋_GB2312" w:eastAsia="方正仿宋_GB2312" w:cs="方正仿宋_GB2312"/>
      <w:color w:val="000000"/>
      <w:sz w:val="21"/>
      <w:szCs w:val="21"/>
      <w:u w:val="none"/>
    </w:rPr>
  </w:style>
  <w:style w:type="character" w:customStyle="1" w:styleId="21">
    <w:name w:val="font11"/>
    <w:basedOn w:val="14"/>
    <w:qFormat/>
    <w:uiPriority w:val="0"/>
    <w:rPr>
      <w:rFonts w:hint="default" w:ascii="仿宋_GB2312" w:eastAsia="仿宋_GB2312" w:cs="仿宋_GB2312"/>
      <w:color w:val="000000"/>
      <w:sz w:val="20"/>
      <w:szCs w:val="20"/>
      <w:u w:val="none"/>
    </w:rPr>
  </w:style>
  <w:style w:type="character" w:customStyle="1" w:styleId="22">
    <w:name w:val="font01"/>
    <w:basedOn w:val="14"/>
    <w:qFormat/>
    <w:uiPriority w:val="0"/>
    <w:rPr>
      <w:rFonts w:hint="eastAsia" w:ascii="等线" w:hAnsi="等线" w:eastAsia="等线" w:cs="等线"/>
      <w:color w:val="000000"/>
      <w:sz w:val="22"/>
      <w:szCs w:val="22"/>
      <w:u w:val="none"/>
    </w:rPr>
  </w:style>
  <w:style w:type="character" w:customStyle="1" w:styleId="23">
    <w:name w:val="font31"/>
    <w:basedOn w:val="14"/>
    <w:qFormat/>
    <w:uiPriority w:val="0"/>
    <w:rPr>
      <w:rFonts w:hint="default" w:ascii="方正仿宋_GB2312" w:hAnsi="方正仿宋_GB2312" w:eastAsia="方正仿宋_GB2312" w:cs="方正仿宋_GB2312"/>
      <w:color w:val="000000"/>
      <w:sz w:val="21"/>
      <w:szCs w:val="21"/>
      <w:u w:val="none"/>
    </w:rPr>
  </w:style>
  <w:style w:type="character" w:customStyle="1" w:styleId="24">
    <w:name w:val="font21"/>
    <w:basedOn w:val="14"/>
    <w:qFormat/>
    <w:uiPriority w:val="0"/>
    <w:rPr>
      <w:rFonts w:hint="default" w:ascii="方正仿宋_GB2312" w:hAnsi="方正仿宋_GB2312" w:eastAsia="方正仿宋_GB2312" w:cs="方正仿宋_GB2312"/>
      <w:color w:val="000000"/>
      <w:sz w:val="21"/>
      <w:szCs w:val="21"/>
      <w:u w:val="none"/>
    </w:rPr>
  </w:style>
  <w:style w:type="paragraph" w:customStyle="1" w:styleId="25">
    <w:name w:val="标4"/>
    <w:basedOn w:val="1"/>
    <w:qFormat/>
    <w:uiPriority w:val="99"/>
    <w:pPr>
      <w:adjustRightInd w:val="0"/>
      <w:spacing w:before="240" w:after="360" w:line="240" w:lineRule="exac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4612</Words>
  <Characters>5021</Characters>
  <Lines>3</Lines>
  <Paragraphs>1</Paragraphs>
  <TotalTime>78</TotalTime>
  <ScaleCrop>false</ScaleCrop>
  <LinksUpToDate>false</LinksUpToDate>
  <CharactersWithSpaces>5029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湖南省常宁市工商业联合会</cp:lastModifiedBy>
  <cp:lastPrinted>2025-08-29T00:46:46Z</cp:lastPrinted>
  <dcterms:modified xsi:type="dcterms:W3CDTF">2025-08-29T01:57:46Z</dcterms:modified>
  <dc:title>财政支出绩效评价报告</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0935356AF02747749E2DA0616255CEA9_13</vt:lpwstr>
  </property>
  <property fmtid="{D5CDD505-2E9C-101B-9397-08002B2CF9AE}" pid="4" name="KSOTemplateDocerSaveRecord">
    <vt:lpwstr>eyJoZGlkIjoiYzVmOWM0MDg5MmM3OTVkZTBjMjNlNDA3OTk4MGI0MjQiLCJ1c2VySWQiOiI1MzgwNDM4MDQifQ==</vt:lpwstr>
  </property>
</Properties>
</file>