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bookmarkStart w:id="0" w:name="OLE_LINK3"/>
      <w:r>
        <w:rPr>
          <w:rFonts w:ascii="Times New Roman" w:hAnsi="Times New Roman" w:eastAsia="方正小标宋_GBK" w:cs="Times New Roman"/>
          <w:sz w:val="52"/>
          <w:szCs w:val="52"/>
        </w:rPr>
        <w:t>2024</w:t>
      </w:r>
      <w:r>
        <w:rPr>
          <w:rFonts w:ascii="方正小标宋_GBK" w:hAnsi="Times New Roman" w:eastAsia="方正小标宋_GBK" w:cs="Times New Roman"/>
          <w:sz w:val="52"/>
          <w:szCs w:val="52"/>
        </w:rPr>
        <w:t>年</w:t>
      </w:r>
      <w:r>
        <w:rPr>
          <w:rFonts w:hint="eastAsia" w:ascii="方正小标宋_GBK" w:hAnsi="Times New Roman" w:eastAsia="方正小标宋_GBK" w:cs="Times New Roman"/>
          <w:sz w:val="52"/>
          <w:szCs w:val="52"/>
        </w:rPr>
        <w:t>度</w:t>
      </w:r>
      <w:r>
        <w:rPr>
          <w:rFonts w:hint="eastAsia" w:ascii="Times New Roman" w:hAnsi="Times New Roman" w:eastAsia="方正小标宋_GBK" w:cs="Times New Roman"/>
          <w:sz w:val="52"/>
          <w:szCs w:val="52"/>
        </w:rPr>
        <w:t>常宁市公安局交通警察大队</w:t>
      </w:r>
      <w:r>
        <w:rPr>
          <w:rFonts w:ascii="方正小标宋_GBK" w:hAnsi="Times New Roman" w:eastAsia="方正小标宋_GBK" w:cs="Times New Roman"/>
          <w:sz w:val="52"/>
          <w:szCs w:val="52"/>
        </w:rPr>
        <w:t>部门整体支出绩效自评报告</w:t>
      </w:r>
    </w:p>
    <w:bookmarkEnd w:id="0"/>
    <w:p>
      <w:pPr>
        <w:jc w:val="center"/>
        <w:rPr>
          <w:rFonts w:ascii="Times New Roman" w:hAnsi="Times New Roman" w:eastAsia="方正小标宋_GBK" w:cs="Times New Roman"/>
          <w:b/>
          <w:sz w:val="52"/>
          <w:szCs w:val="52"/>
        </w:rPr>
      </w:pPr>
      <w:r>
        <w:rPr>
          <w:rFonts w:ascii="Times New Roman" w:hAnsi="Times New Roman" w:eastAsia="方正小标宋_GBK" w:cs="Times New Roman"/>
          <w:b/>
          <w:sz w:val="52"/>
          <w:szCs w:val="52"/>
        </w:rPr>
        <w:t xml:space="preserve"> </w:t>
      </w:r>
    </w:p>
    <w:p>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spacing w:line="600" w:lineRule="exact"/>
        <w:ind w:firstLine="320" w:firstLineChars="100"/>
        <w:rPr>
          <w:rFonts w:ascii="Times New Roman" w:hAnsi="Times New Roman" w:eastAsia="仿宋_GB2312" w:cs="Times New Roman"/>
          <w:sz w:val="32"/>
          <w:szCs w:val="32"/>
          <w:u w:val="single"/>
        </w:rPr>
      </w:pPr>
      <w:r>
        <w:rPr>
          <w:rFonts w:ascii="仿宋_GB2312" w:hAnsi="Times New Roman" w:eastAsia="仿宋_GB2312" w:cs="Times New Roman"/>
          <w:sz w:val="32"/>
          <w:szCs w:val="32"/>
        </w:rPr>
        <w:t>部门（单位）名称：</w:t>
      </w:r>
      <w:r>
        <w:rPr>
          <w:rFonts w:hint="eastAsia" w:ascii="仿宋_GB2312" w:hAnsi="Times New Roman" w:eastAsia="仿宋_GB2312" w:cs="Times New Roman"/>
          <w:sz w:val="32"/>
          <w:szCs w:val="32"/>
          <w:u w:val="single"/>
        </w:rPr>
        <w:t>常宁市公安局交通警察大队</w:t>
      </w:r>
      <w:r>
        <w:rPr>
          <w:rFonts w:ascii="Times New Roman" w:hAnsi="Times New Roman" w:eastAsia="仿宋_GB2312" w:cs="Times New Roman"/>
          <w:sz w:val="32"/>
          <w:szCs w:val="32"/>
          <w:u w:val="single"/>
        </w:rPr>
        <w:t xml:space="preserve"> </w:t>
      </w:r>
    </w:p>
    <w:p>
      <w:pPr>
        <w:spacing w:line="600" w:lineRule="exact"/>
        <w:ind w:firstLine="3200" w:firstLineChars="1000"/>
        <w:rPr>
          <w:rFonts w:ascii="Times New Roman" w:hAnsi="Times New Roman" w:eastAsia="楷体_GB2312" w:cs="Times New Roman"/>
          <w:sz w:val="32"/>
          <w:szCs w:val="32"/>
        </w:rPr>
      </w:pPr>
      <w:r>
        <w:rPr>
          <w:rFonts w:hint="eastAsia" w:ascii="楷体_GB2312" w:hAnsi="Times New Roman" w:eastAsia="楷体_GB2312" w:cs="Times New Roman"/>
          <w:sz w:val="32"/>
          <w:szCs w:val="32"/>
        </w:rPr>
        <w:t>2</w:t>
      </w:r>
      <w:r>
        <w:rPr>
          <w:rFonts w:ascii="楷体_GB2312" w:hAnsi="Times New Roman" w:eastAsia="楷体_GB2312" w:cs="Times New Roman"/>
          <w:sz w:val="32"/>
          <w:szCs w:val="32"/>
        </w:rPr>
        <w:t>025年</w:t>
      </w:r>
      <w:r>
        <w:rPr>
          <w:rFonts w:ascii="Times New Roman" w:hAnsi="Times New Roman" w:eastAsia="楷体_GB2312" w:cs="Times New Roman"/>
          <w:sz w:val="32"/>
          <w:szCs w:val="32"/>
        </w:rPr>
        <w:t xml:space="preserve"> 3 </w:t>
      </w:r>
      <w:r>
        <w:rPr>
          <w:rFonts w:ascii="楷体_GB2312" w:hAnsi="Times New Roman" w:eastAsia="楷体_GB2312" w:cs="Times New Roman"/>
          <w:sz w:val="32"/>
          <w:szCs w:val="32"/>
        </w:rPr>
        <w:t>月</w:t>
      </w:r>
      <w:r>
        <w:rPr>
          <w:rFonts w:ascii="Times New Roman" w:hAnsi="Times New Roman" w:eastAsia="楷体_GB2312" w:cs="Times New Roman"/>
          <w:sz w:val="32"/>
          <w:szCs w:val="32"/>
        </w:rPr>
        <w:t xml:space="preserve"> 28 </w:t>
      </w:r>
      <w:r>
        <w:rPr>
          <w:rFonts w:ascii="楷体_GB2312" w:hAnsi="Times New Roman" w:eastAsia="楷体_GB2312" w:cs="Times New Roman"/>
          <w:sz w:val="32"/>
          <w:szCs w:val="32"/>
        </w:rPr>
        <w:t>日</w:t>
      </w: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jc w:val="center"/>
        <w:rPr>
          <w:rFonts w:ascii="Times New Roman" w:hAnsi="Times New Roman" w:eastAsia="仿宋_GB2312" w:cs="Times New Roman"/>
        </w:rPr>
      </w:pPr>
      <w:r>
        <w:rPr>
          <w:rFonts w:ascii="Times New Roman" w:hAnsi="Times New Roman" w:eastAsia="仿宋_GB2312" w:cs="Times New Roman"/>
          <w:sz w:val="32"/>
          <w:szCs w:val="32"/>
        </w:rPr>
        <w:br w:type="page"/>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2024</w:t>
      </w:r>
      <w:r>
        <w:rPr>
          <w:rFonts w:ascii="方正小标宋_GBK" w:hAnsi="Times New Roman" w:eastAsia="方正小标宋_GBK" w:cs="Times New Roman"/>
          <w:sz w:val="44"/>
          <w:szCs w:val="44"/>
        </w:rPr>
        <w:t>年</w:t>
      </w:r>
      <w:r>
        <w:rPr>
          <w:rFonts w:hint="eastAsia" w:ascii="方正小标宋_GBK" w:hAnsi="Times New Roman" w:eastAsia="方正小标宋_GBK" w:cs="Times New Roman"/>
          <w:sz w:val="44"/>
          <w:szCs w:val="44"/>
        </w:rPr>
        <w:t>度常宁市公安局交通警察大队</w:t>
      </w:r>
      <w:r>
        <w:rPr>
          <w:rFonts w:ascii="方正小标宋_GBK" w:hAnsi="Times New Roman" w:eastAsia="方正小标宋_GBK" w:cs="Times New Roman"/>
          <w:sz w:val="44"/>
          <w:szCs w:val="44"/>
        </w:rPr>
        <w:t>部门整体支出绩效自评报告</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pStyle w:val="10"/>
        <w:numPr>
          <w:ilvl w:val="0"/>
          <w:numId w:val="1"/>
        </w:numPr>
        <w:spacing w:line="600" w:lineRule="exact"/>
        <w:ind w:firstLineChars="0"/>
        <w:rPr>
          <w:rFonts w:ascii="黑体" w:hAnsi="黑体" w:eastAsia="黑体" w:cs="Times New Roman"/>
          <w:sz w:val="32"/>
          <w:szCs w:val="32"/>
        </w:rPr>
      </w:pPr>
      <w:r>
        <w:rPr>
          <w:rFonts w:ascii="黑体" w:hAnsi="黑体" w:eastAsia="黑体" w:cs="Times New Roman"/>
          <w:sz w:val="32"/>
          <w:szCs w:val="32"/>
        </w:rPr>
        <w:t>部门基本情况</w:t>
      </w:r>
    </w:p>
    <w:p>
      <w:pPr>
        <w:pStyle w:val="10"/>
        <w:spacing w:line="600" w:lineRule="exact"/>
        <w:ind w:left="1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(一)职能职责</w:t>
      </w:r>
    </w:p>
    <w:p>
      <w:pPr>
        <w:pStyle w:val="10"/>
        <w:spacing w:line="600" w:lineRule="exact"/>
        <w:ind w:left="1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1、指导、监督道路交通安全管理,纠正交通违章、维护交通秩序,处理交通事故;</w:t>
      </w:r>
    </w:p>
    <w:p>
      <w:pPr>
        <w:pStyle w:val="10"/>
        <w:spacing w:line="600" w:lineRule="exact"/>
        <w:ind w:left="1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2、维护道路交通秩序,查处各类道路交通违法行为,确保道路交通安全畅通;打击车匪路霸,阻截逃犯,处置各类因交通引起的突发性事件;</w:t>
      </w:r>
    </w:p>
    <w:p>
      <w:pPr>
        <w:pStyle w:val="10"/>
        <w:spacing w:line="600" w:lineRule="exact"/>
        <w:ind w:left="1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3、指导、监督交通勤务设计与实施,组织道路交通指挥和控制;</w:t>
      </w:r>
    </w:p>
    <w:p>
      <w:pPr>
        <w:pStyle w:val="10"/>
        <w:spacing w:line="600" w:lineRule="exact"/>
        <w:ind w:left="1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4、向全社会进行多种形式的交通安全法规宣传教育工作;</w:t>
      </w:r>
    </w:p>
    <w:p>
      <w:pPr>
        <w:pStyle w:val="10"/>
        <w:spacing w:line="600" w:lineRule="exact"/>
        <w:ind w:left="1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5、负责机动车辆安全检验和驾驶员的考核及机动车牌证、驾驶员证件的核发和管理;</w:t>
      </w:r>
    </w:p>
    <w:p>
      <w:pPr>
        <w:pStyle w:val="10"/>
        <w:spacing w:line="600" w:lineRule="exact"/>
        <w:ind w:left="1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6、协助上级业务部门做好机动车考验员、教练员的培训,考试和核发证件的工作;</w:t>
      </w:r>
    </w:p>
    <w:p>
      <w:pPr>
        <w:pStyle w:val="10"/>
        <w:spacing w:line="600" w:lineRule="exact"/>
        <w:ind w:left="1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7、参与道路交通安全设施的规划,指导督促市、县城区交通安全设施的实施;</w:t>
      </w:r>
    </w:p>
    <w:p>
      <w:pPr>
        <w:pStyle w:val="10"/>
        <w:spacing w:line="600" w:lineRule="exact"/>
        <w:ind w:left="1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8、分析研究道路交通安全形势,当好党委、政府的参谋,提出交通管理对策,为党委、政府提供决策服务;</w:t>
      </w:r>
    </w:p>
    <w:p>
      <w:pPr>
        <w:pStyle w:val="10"/>
        <w:spacing w:line="600" w:lineRule="exact"/>
        <w:ind w:left="1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9、对道路参与者实行管理,并努力创造良好的交通环境,保护国家和人民生命财产在参与交通活动中的安全。</w:t>
      </w:r>
    </w:p>
    <w:p>
      <w:pPr>
        <w:pStyle w:val="10"/>
        <w:spacing w:line="600" w:lineRule="exact"/>
        <w:ind w:left="1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pStyle w:val="10"/>
        <w:spacing w:line="600" w:lineRule="exact"/>
        <w:ind w:left="1360" w:firstLine="0" w:firstLineChars="0"/>
        <w:rPr>
          <w:rFonts w:hint="eastAsia" w:ascii="黑体" w:hAnsi="黑体" w:eastAsia="黑体" w:cs="Times New Roman"/>
          <w:sz w:val="32"/>
          <w:szCs w:val="32"/>
        </w:rPr>
      </w:pPr>
      <w:r>
        <w:rPr>
          <w:rFonts w:hint="eastAsia" w:ascii="仿宋_GB2312" w:hAnsi="仿宋_GB2312" w:eastAsia="仿宋_GB2312" w:cs="仿宋_GB2312"/>
          <w:sz w:val="32"/>
          <w:szCs w:val="32"/>
        </w:rPr>
        <w:t>1、部门设置。根据编委核定本单位内设中队10个,其中:内设处室分别是内务管理中队、执法监督与宣传中队、事故处理中队、巡逻中队、城区中队、特勤中队、宜潭中队、松柏中队、122情报指挥中心、车管所10个中队</w:t>
      </w:r>
      <w:r>
        <w:rPr>
          <w:rFonts w:hint="eastAsia" w:ascii="黑体" w:hAnsi="黑体" w:eastAsia="黑体" w:cs="Times New Roman"/>
          <w:sz w:val="32"/>
          <w:szCs w:val="32"/>
        </w:rPr>
        <w:t>。</w:t>
      </w:r>
    </w:p>
    <w:p>
      <w:pPr>
        <w:pStyle w:val="10"/>
        <w:spacing w:line="600" w:lineRule="exact"/>
        <w:ind w:left="1360" w:firstLine="0" w:firstLineChars="0"/>
        <w:rPr>
          <w:rFonts w:ascii="黑体" w:hAnsi="黑体" w:eastAsia="黑体" w:cs="Times New Roman"/>
          <w:sz w:val="32"/>
          <w:szCs w:val="32"/>
        </w:rPr>
      </w:pPr>
    </w:p>
    <w:p>
      <w:pPr>
        <w:pStyle w:val="10"/>
        <w:spacing w:line="600" w:lineRule="exact"/>
        <w:ind w:left="1360" w:firstLine="0" w:firstLineChars="0"/>
        <w:rPr>
          <w:rFonts w:ascii="黑体" w:hAnsi="黑体" w:eastAsia="黑体" w:cs="Times New Roman"/>
          <w:sz w:val="32"/>
          <w:szCs w:val="32"/>
        </w:rPr>
      </w:pPr>
    </w:p>
    <w:p>
      <w:pPr>
        <w:pStyle w:val="9"/>
        <w:widowControl/>
        <w:numPr>
          <w:ilvl w:val="0"/>
          <w:numId w:val="1"/>
        </w:numPr>
        <w:spacing w:line="600" w:lineRule="exact"/>
        <w:ind w:firstLine="0" w:firstLineChars="0"/>
        <w:rPr>
          <w:rFonts w:ascii="黑体" w:hAnsi="黑体" w:eastAsia="黑体" w:cs="Times New Roman"/>
          <w:sz w:val="32"/>
          <w:szCs w:val="32"/>
        </w:rPr>
      </w:pPr>
      <w:r>
        <w:rPr>
          <w:rFonts w:ascii="黑体" w:hAnsi="黑体" w:eastAsia="黑体" w:cs="Times New Roman"/>
          <w:sz w:val="32"/>
          <w:szCs w:val="32"/>
        </w:rPr>
        <w:t>一般公共预算支出情况</w:t>
      </w:r>
    </w:p>
    <w:p>
      <w:pPr>
        <w:pStyle w:val="9"/>
        <w:widowControl/>
        <w:numPr>
          <w:ilvl w:val="0"/>
          <w:numId w:val="2"/>
        </w:numPr>
        <w:spacing w:line="600" w:lineRule="exact"/>
        <w:ind w:firstLineChars="0"/>
        <w:rPr>
          <w:rFonts w:ascii="楷体_GB2312" w:hAnsi="Times New Roman" w:eastAsia="楷体_GB2312" w:cs="Times New Roman"/>
          <w:b/>
          <w:sz w:val="32"/>
          <w:szCs w:val="32"/>
        </w:rPr>
      </w:pPr>
      <w:r>
        <w:rPr>
          <w:rFonts w:ascii="楷体_GB2312" w:hAnsi="Times New Roman" w:eastAsia="楷体_GB2312" w:cs="Times New Roman"/>
          <w:b/>
          <w:sz w:val="32"/>
          <w:szCs w:val="32"/>
        </w:rPr>
        <w:t>基本支出情况</w:t>
      </w:r>
    </w:p>
    <w:p>
      <w:pPr>
        <w:widowControl/>
        <w:spacing w:line="600" w:lineRule="exact"/>
        <w:ind w:firstLine="640" w:firstLineChars="200"/>
        <w:rPr>
          <w:rFonts w:ascii="Times New Roman" w:hAnsi="Times New Roman" w:eastAsia="楷体_GB2312" w:cs="Times New Roman"/>
          <w:b/>
          <w:sz w:val="32"/>
          <w:szCs w:val="32"/>
        </w:rPr>
      </w:pPr>
      <w:r>
        <w:rPr>
          <w:rFonts w:hint="eastAsia" w:ascii="仿宋_GB2312" w:hAnsi="仿宋_GB2312" w:eastAsia="仿宋_GB2312" w:cs="仿宋_GB2312"/>
          <w:bCs/>
          <w:sz w:val="32"/>
          <w:szCs w:val="32"/>
        </w:rPr>
        <w:t>2024年度基本支出</w:t>
      </w:r>
      <w:r>
        <w:rPr>
          <w:rFonts w:hint="eastAsia" w:ascii="仿宋_GB2312" w:hAnsi="仿宋_GB2312" w:eastAsia="仿宋_GB2312" w:cs="仿宋_GB2312"/>
          <w:bCs/>
          <w:sz w:val="32"/>
          <w:szCs w:val="32"/>
          <w:lang w:val="en-US" w:eastAsia="zh-CN"/>
        </w:rPr>
        <w:t>1500.88</w:t>
      </w:r>
      <w:r>
        <w:rPr>
          <w:rFonts w:hint="eastAsia" w:ascii="仿宋_GB2312" w:hAnsi="仿宋_GB2312" w:eastAsia="仿宋_GB2312" w:cs="仿宋_GB2312"/>
          <w:bCs/>
          <w:sz w:val="32"/>
          <w:szCs w:val="32"/>
        </w:rPr>
        <w:t>万元，其中：人员经费1</w:t>
      </w:r>
      <w:r>
        <w:rPr>
          <w:rFonts w:hint="eastAsia" w:ascii="仿宋_GB2312" w:hAnsi="仿宋_GB2312" w:eastAsia="仿宋_GB2312" w:cs="仿宋_GB2312"/>
          <w:bCs/>
          <w:sz w:val="32"/>
          <w:szCs w:val="32"/>
          <w:lang w:val="en-US" w:eastAsia="zh-CN"/>
        </w:rPr>
        <w:t>014.96</w:t>
      </w:r>
      <w:r>
        <w:rPr>
          <w:rFonts w:hint="eastAsia" w:ascii="仿宋_GB2312" w:hAnsi="仿宋_GB2312" w:eastAsia="仿宋_GB2312" w:cs="仿宋_GB2312"/>
          <w:bCs/>
          <w:sz w:val="32"/>
          <w:szCs w:val="32"/>
        </w:rPr>
        <w:t>万元，主要包括：基本工资、津贴补贴、奖金、社会保障缴费、伙食补助费、其他工资福利支出、抚恤金、生活补助、住房公积金、其他对个人和家庭的补助；公用经费</w:t>
      </w:r>
      <w:r>
        <w:rPr>
          <w:rFonts w:hint="eastAsia" w:ascii="仿宋_GB2312" w:hAnsi="仿宋_GB2312" w:eastAsia="仿宋_GB2312" w:cs="仿宋_GB2312"/>
          <w:bCs/>
          <w:sz w:val="32"/>
          <w:szCs w:val="32"/>
          <w:lang w:val="en-US" w:eastAsia="zh-CN"/>
        </w:rPr>
        <w:t>485.92</w:t>
      </w:r>
      <w:r>
        <w:rPr>
          <w:rFonts w:hint="eastAsia" w:ascii="仿宋_GB2312" w:hAnsi="仿宋_GB2312" w:eastAsia="仿宋_GB2312" w:cs="仿宋_GB2312"/>
          <w:bCs/>
          <w:sz w:val="32"/>
          <w:szCs w:val="32"/>
        </w:rPr>
        <w:t>万元，主要包括：办公费、印刷费、水费、电费、邮电费、物业管理费、差旅费、维修（护）费、租赁费、会议费、培训费、公务接待费、专用材料费、劳务费、工会经费、其他商品和服务支出。</w:t>
      </w:r>
    </w:p>
    <w:p>
      <w:pPr>
        <w:pStyle w:val="9"/>
        <w:widowControl/>
        <w:spacing w:line="600" w:lineRule="exact"/>
        <w:ind w:firstLine="643"/>
        <w:rPr>
          <w:rFonts w:hint="eastAsia" w:ascii="仿宋_GB2312" w:hAnsi="仿宋_GB2312" w:eastAsia="仿宋_GB2312" w:cs="仿宋_GB2312"/>
          <w:bCs/>
          <w:kern w:val="0"/>
          <w:sz w:val="32"/>
          <w:szCs w:val="32"/>
          <w:lang w:val="en-US" w:eastAsia="zh-CN" w:bidi="ar-SA"/>
        </w:rPr>
      </w:pPr>
      <w:r>
        <w:rPr>
          <w:rFonts w:ascii="楷体_GB2312" w:hAnsi="Times New Roman" w:eastAsia="楷体_GB2312" w:cs="Times New Roman"/>
          <w:b/>
          <w:sz w:val="32"/>
          <w:szCs w:val="32"/>
        </w:rPr>
        <w:t>（二）项目支出情况</w:t>
      </w:r>
    </w:p>
    <w:p>
      <w:pPr>
        <w:spacing w:line="500" w:lineRule="exact"/>
        <w:ind w:firstLine="640" w:firstLineChars="200"/>
        <w:rPr>
          <w:rFonts w:hint="eastAsia" w:ascii="宋体" w:hAnsi="宋体" w:eastAsia="宋体"/>
          <w:sz w:val="32"/>
          <w:szCs w:val="32"/>
        </w:rPr>
      </w:pPr>
      <w:r>
        <w:rPr>
          <w:rFonts w:hint="eastAsia" w:ascii="仿宋_GB2312" w:hAnsi="仿宋_GB2312" w:eastAsia="仿宋_GB2312" w:cs="仿宋_GB2312"/>
          <w:bCs/>
          <w:kern w:val="0"/>
          <w:sz w:val="32"/>
          <w:szCs w:val="32"/>
          <w:lang w:val="en-US" w:eastAsia="zh-CN" w:bidi="ar-SA"/>
        </w:rPr>
        <w:t>2024年度项目支出1133.88万元，具体支出如下表</w:t>
      </w:r>
      <w:r>
        <w:rPr>
          <w:rFonts w:hint="eastAsia" w:ascii="宋体" w:hAnsi="宋体" w:eastAsia="宋体"/>
          <w:sz w:val="32"/>
          <w:szCs w:val="32"/>
        </w:rPr>
        <w:t>：</w:t>
      </w:r>
    </w:p>
    <w:p>
      <w:pPr>
        <w:spacing w:line="500" w:lineRule="exact"/>
        <w:ind w:firstLine="640" w:firstLineChars="200"/>
        <w:rPr>
          <w:rFonts w:hint="eastAsia" w:ascii="宋体" w:hAnsi="宋体" w:eastAsia="宋体"/>
          <w:sz w:val="32"/>
          <w:szCs w:val="32"/>
        </w:rPr>
      </w:pPr>
    </w:p>
    <w:tbl>
      <w:tblPr>
        <w:tblStyle w:val="5"/>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2"/>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2" w:type="dxa"/>
            <w:tcBorders>
              <w:top w:val="single" w:color="D4D4D4" w:sz="4" w:space="0"/>
              <w:left w:val="single" w:color="D4D4D4"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77" w:type="dxa"/>
            <w:tcBorders>
              <w:top w:val="single" w:color="D4D4D4" w:sz="4" w:space="0"/>
              <w:left w:val="single" w:color="000000" w:sz="4" w:space="0"/>
              <w:bottom w:val="single" w:color="000000"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2" w:type="dxa"/>
            <w:tcBorders>
              <w:top w:val="single" w:color="000000" w:sz="4" w:space="0"/>
              <w:left w:val="single" w:color="D4D4D4"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77"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2"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湘财预【2023】389号下达2024年中央和省级转移支付资金2</w:t>
            </w:r>
          </w:p>
        </w:tc>
        <w:tc>
          <w:tcPr>
            <w:tcW w:w="1077"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2"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交通事故检测鉴定经费</w:t>
            </w:r>
          </w:p>
        </w:tc>
        <w:tc>
          <w:tcPr>
            <w:tcW w:w="1077"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2"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交通安全设施维护与宣传</w:t>
            </w:r>
          </w:p>
        </w:tc>
        <w:tc>
          <w:tcPr>
            <w:tcW w:w="1077"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2"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牌照证书工本费及执法执收成本</w:t>
            </w:r>
          </w:p>
        </w:tc>
        <w:tc>
          <w:tcPr>
            <w:tcW w:w="1077"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2"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湘财预【2023】389号下达2024年中央和省级转移支付资金3</w:t>
            </w:r>
          </w:p>
        </w:tc>
        <w:tc>
          <w:tcPr>
            <w:tcW w:w="1077"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2"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从国防公共安全专项资金中安排禁燃工作经费</w:t>
            </w:r>
          </w:p>
        </w:tc>
        <w:tc>
          <w:tcPr>
            <w:tcW w:w="1077"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2"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交通顽疾整治工作经费</w:t>
            </w:r>
          </w:p>
        </w:tc>
        <w:tc>
          <w:tcPr>
            <w:tcW w:w="1077"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2"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上年结转从纳入预算管理的非税收入拨款安排单位项目经费</w:t>
            </w:r>
          </w:p>
        </w:tc>
        <w:tc>
          <w:tcPr>
            <w:tcW w:w="1077"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2"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网络维护及租赁费</w:t>
            </w:r>
          </w:p>
        </w:tc>
        <w:tc>
          <w:tcPr>
            <w:tcW w:w="1077"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2"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交通事故检测鉴定经费</w:t>
            </w:r>
          </w:p>
        </w:tc>
        <w:tc>
          <w:tcPr>
            <w:tcW w:w="1077"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2"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工勤人员、警保卫工作</w:t>
            </w:r>
          </w:p>
        </w:tc>
        <w:tc>
          <w:tcPr>
            <w:tcW w:w="1077"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2"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保管、停车费用</w:t>
            </w:r>
          </w:p>
        </w:tc>
        <w:tc>
          <w:tcPr>
            <w:tcW w:w="1077"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2"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公共交通规划与设施建设</w:t>
            </w:r>
          </w:p>
        </w:tc>
        <w:tc>
          <w:tcPr>
            <w:tcW w:w="1077"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2"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湘财预【2023】389号下达2024年中央和省级转移支付资金</w:t>
            </w:r>
          </w:p>
        </w:tc>
        <w:tc>
          <w:tcPr>
            <w:tcW w:w="1077"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2"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保管、停车费用</w:t>
            </w:r>
          </w:p>
        </w:tc>
        <w:tc>
          <w:tcPr>
            <w:tcW w:w="1077"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2"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从湘财预（2024）0004号交通建设专项资金成品油税费改革税收返还收入中安排G356常宁段重点路口路段交通安全隐患治理项目资金</w:t>
            </w:r>
          </w:p>
        </w:tc>
        <w:tc>
          <w:tcPr>
            <w:tcW w:w="1077"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2"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牌照证书工本费及执法执收成本</w:t>
            </w:r>
          </w:p>
        </w:tc>
        <w:tc>
          <w:tcPr>
            <w:tcW w:w="1077"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2"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从城市建设和管理专项资金中安排城乡治理标准化与文明城市创建资金</w:t>
            </w:r>
          </w:p>
        </w:tc>
        <w:tc>
          <w:tcPr>
            <w:tcW w:w="1077"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2"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湘财预（2023）0139号下达2023年度中央和省级政法转移支付资金（公安交警系统）</w:t>
            </w:r>
          </w:p>
        </w:tc>
        <w:tc>
          <w:tcPr>
            <w:tcW w:w="1077"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2"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2023年巩固提升省级文明城市工作经费</w:t>
            </w:r>
          </w:p>
        </w:tc>
        <w:tc>
          <w:tcPr>
            <w:tcW w:w="1077"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2"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从社会保障和就业专项资金中安排退休干部待遇补贴</w:t>
            </w:r>
          </w:p>
        </w:tc>
        <w:tc>
          <w:tcPr>
            <w:tcW w:w="1077"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52"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从机关事业专项资金中安排2023年度安全生产先进单位和先进个人奖励金</w:t>
            </w:r>
          </w:p>
        </w:tc>
        <w:tc>
          <w:tcPr>
            <w:tcW w:w="1077"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r>
    </w:tbl>
    <w:p>
      <w:pPr>
        <w:spacing w:line="500" w:lineRule="exact"/>
        <w:ind w:firstLine="1472" w:firstLineChars="460"/>
        <w:rPr>
          <w:rFonts w:hint="eastAsia" w:ascii="宋体" w:hAnsi="宋体" w:eastAsia="宋体"/>
          <w:sz w:val="32"/>
          <w:szCs w:val="32"/>
        </w:rPr>
      </w:pPr>
    </w:p>
    <w:p>
      <w:pPr>
        <w:spacing w:line="500" w:lineRule="exact"/>
        <w:ind w:firstLine="640" w:firstLineChars="200"/>
        <w:rPr>
          <w:rFonts w:hint="eastAsia" w:ascii="宋体" w:hAnsi="宋体" w:eastAsia="宋体"/>
          <w:sz w:val="32"/>
          <w:szCs w:val="32"/>
        </w:rPr>
      </w:pPr>
    </w:p>
    <w:p>
      <w:pPr>
        <w:spacing w:line="500" w:lineRule="exact"/>
        <w:ind w:firstLine="640" w:firstLineChars="200"/>
        <w:rPr>
          <w:rFonts w:ascii="宋体" w:hAnsi="宋体" w:eastAsia="宋体"/>
          <w:sz w:val="32"/>
          <w:szCs w:val="32"/>
        </w:rPr>
      </w:pPr>
    </w:p>
    <w:p>
      <w:pPr>
        <w:spacing w:line="500" w:lineRule="exact"/>
        <w:ind w:firstLine="643" w:firstLineChars="200"/>
        <w:rPr>
          <w:rFonts w:ascii="Times New Roman" w:hAnsi="Times New Roman" w:eastAsia="楷体_GB2312" w:cs="Times New Roman"/>
          <w:b/>
          <w:sz w:val="32"/>
          <w:szCs w:val="32"/>
        </w:rPr>
      </w:pPr>
    </w:p>
    <w:p>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政府性基金预算支出情况</w:t>
      </w:r>
    </w:p>
    <w:p>
      <w:pPr>
        <w:spacing w:line="600" w:lineRule="exact"/>
        <w:ind w:firstLine="960" w:firstLineChars="300"/>
        <w:rPr>
          <w:rFonts w:ascii="Times New Roman" w:hAnsi="Times New Roman" w:eastAsia="黑体" w:cs="Times New Roman"/>
          <w:sz w:val="32"/>
          <w:szCs w:val="32"/>
        </w:rPr>
      </w:pPr>
      <w:r>
        <w:rPr>
          <w:rFonts w:hint="eastAsia" w:ascii="仿宋_GB2312" w:hAnsi="仿宋_GB2312" w:eastAsia="仿宋_GB2312" w:cs="仿宋_GB2312"/>
          <w:sz w:val="32"/>
          <w:szCs w:val="32"/>
        </w:rPr>
        <w:t>2024年度我单位无政府性基金预算支出。</w:t>
      </w:r>
    </w:p>
    <w:p>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国有资本经营预算支出情况</w:t>
      </w:r>
    </w:p>
    <w:p>
      <w:pPr>
        <w:pStyle w:val="9"/>
        <w:widowControl/>
        <w:spacing w:line="600" w:lineRule="exact"/>
        <w:ind w:left="640" w:firstLine="320" w:firstLineChars="100"/>
        <w:jc w:val="left"/>
        <w:rPr>
          <w:rFonts w:ascii="Times New Roman" w:hAnsi="Times New Roman" w:eastAsia="黑体" w:cs="Times New Roman"/>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无国有资本经营预算支出</w:t>
      </w:r>
      <w:r>
        <w:rPr>
          <w:rFonts w:hint="eastAsia" w:ascii="仿宋_GB2312" w:hAnsi="仿宋_GB2312" w:eastAsia="仿宋_GB2312" w:cs="仿宋_GB2312"/>
          <w:sz w:val="32"/>
          <w:szCs w:val="32"/>
        </w:rPr>
        <w:t>。</w:t>
      </w:r>
    </w:p>
    <w:p>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社会保险基金预算支出情况</w:t>
      </w:r>
    </w:p>
    <w:p>
      <w:pPr>
        <w:pStyle w:val="10"/>
        <w:widowControl/>
        <w:spacing w:line="600" w:lineRule="exact"/>
        <w:ind w:firstLine="640"/>
        <w:jc w:val="left"/>
        <w:rPr>
          <w:rFonts w:ascii="Times New Roman" w:hAnsi="Times New Roman" w:eastAsia="黑体" w:cs="Times New Roman"/>
          <w:sz w:val="32"/>
          <w:szCs w:val="32"/>
        </w:rPr>
      </w:pPr>
      <w:r>
        <w:rPr>
          <w:rFonts w:ascii="黑体" w:hAnsi="黑体" w:eastAsia="黑体" w:cs="Times New Roman"/>
          <w:sz w:val="32"/>
          <w:szCs w:val="32"/>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单位无社会保险基金预算支出。</w:t>
      </w:r>
    </w:p>
    <w:p>
      <w:pPr>
        <w:pStyle w:val="10"/>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部门整体支出绩效情况</w:t>
      </w:r>
    </w:p>
    <w:p>
      <w:pPr>
        <w:overflowPunct w:val="0"/>
        <w:spacing w:line="560" w:lineRule="exact"/>
        <w:ind w:firstLine="1056" w:firstLineChars="330"/>
        <w:rPr>
          <w:rFonts w:ascii="Times New Roman" w:hAnsi="Times New Roman" w:eastAsia="仿宋_GB2312" w:cs="Times New Roman"/>
          <w:color w:val="000000"/>
          <w:sz w:val="32"/>
          <w:szCs w:val="32"/>
        </w:rPr>
      </w:pPr>
      <w:r>
        <w:rPr>
          <w:rFonts w:hint="eastAsia" w:ascii="仿宋_GB2312" w:hAnsi="仿宋" w:eastAsia="仿宋_GB2312" w:cs="仿宋"/>
          <w:sz w:val="32"/>
          <w:szCs w:val="32"/>
          <w:highlight w:val="none"/>
        </w:rPr>
        <w:t>2024年</w:t>
      </w:r>
      <w:r>
        <w:rPr>
          <w:rFonts w:hint="eastAsia" w:ascii="仿宋_GB2312" w:hAnsi="仿宋" w:eastAsia="仿宋_GB2312" w:cs="仿宋"/>
          <w:sz w:val="32"/>
          <w:szCs w:val="32"/>
          <w:highlight w:val="none"/>
          <w:lang w:eastAsia="zh-CN"/>
        </w:rPr>
        <w:t>是</w:t>
      </w:r>
      <w:r>
        <w:rPr>
          <w:rFonts w:hint="eastAsia" w:ascii="仿宋_GB2312" w:hAnsi="仿宋" w:eastAsia="仿宋_GB2312" w:cs="仿宋"/>
          <w:sz w:val="32"/>
          <w:szCs w:val="32"/>
          <w:highlight w:val="none"/>
        </w:rPr>
        <w:t>中华人民共和国成立75 周年，</w:t>
      </w:r>
      <w:r>
        <w:rPr>
          <w:rFonts w:hint="eastAsia" w:ascii="仿宋_GB2312" w:hAnsi="仿宋" w:eastAsia="仿宋_GB2312" w:cs="仿宋"/>
          <w:sz w:val="32"/>
          <w:szCs w:val="32"/>
          <w:highlight w:val="none"/>
          <w:lang w:eastAsia="zh-CN"/>
        </w:rPr>
        <w:t>也</w:t>
      </w:r>
      <w:r>
        <w:rPr>
          <w:rFonts w:hint="eastAsia" w:ascii="仿宋_GB2312" w:hAnsi="仿宋" w:eastAsia="仿宋_GB2312" w:cs="仿宋"/>
          <w:sz w:val="32"/>
          <w:szCs w:val="32"/>
          <w:highlight w:val="none"/>
        </w:rPr>
        <w:t>是第三届湖南旅游发展大会的举办之年。常宁市公安局交通警察大队在常宁市委、市政府以及常宁市公安局党委的坚强领导下，以习近平新时代中国特色社会主义思想为指引，紧紧围绕全面学习宣传贯彻落实党的二十大精神、二十届三中全会精神及习近平总书记系列</w:t>
      </w:r>
      <w:r>
        <w:rPr>
          <w:rFonts w:hint="eastAsia" w:ascii="仿宋_GB2312" w:eastAsia="仿宋_GB2312" w:cs="仿宋"/>
          <w:sz w:val="32"/>
          <w:szCs w:val="32"/>
          <w:highlight w:val="none"/>
          <w:lang w:val="en-US" w:eastAsia="zh-CN"/>
        </w:rPr>
        <w:t>重要</w:t>
      </w:r>
      <w:bookmarkStart w:id="1" w:name="_GoBack"/>
      <w:bookmarkEnd w:id="1"/>
      <w:r>
        <w:rPr>
          <w:rFonts w:hint="eastAsia" w:ascii="仿宋_GB2312" w:hAnsi="仿宋" w:eastAsia="仿宋_GB2312" w:cs="仿宋"/>
          <w:sz w:val="32"/>
          <w:szCs w:val="32"/>
          <w:highlight w:val="none"/>
        </w:rPr>
        <w:t>讲话精神，坚定锚定“坚决杜绝重特大道路交通事故、坚决遏制较大道路交通事故、力争年度道路交通事故亡人数下降10%”的工作目标，全力以赴“保安全、保有序、优服务、强队伍”，积极推动道路交通安全治理模式向事前预防转型，为平安常宁建设营造了良好的道路交通秩序和安全环境。</w:t>
      </w:r>
    </w:p>
    <w:p>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存在的问题及原因分析</w:t>
      </w:r>
    </w:p>
    <w:p>
      <w:pPr>
        <w:pStyle w:val="10"/>
        <w:widowControl/>
        <w:spacing w:line="600" w:lineRule="exact"/>
        <w:ind w:firstLine="640"/>
        <w:rPr>
          <w:rFonts w:ascii="Times New Roman" w:hAnsi="Times New Roman" w:eastAsia="黑体" w:cs="Times New Roman"/>
          <w:sz w:val="32"/>
          <w:szCs w:val="32"/>
        </w:rPr>
      </w:pPr>
      <w:r>
        <w:rPr>
          <w:rFonts w:hint="eastAsia" w:ascii="仿宋_GB2312" w:hAnsi="仿宋_GB2312" w:eastAsia="仿宋_GB2312" w:cs="仿宋_GB2312"/>
          <w:sz w:val="32"/>
          <w:szCs w:val="32"/>
        </w:rPr>
        <w:t>单位开展预算绩效管理的水平有待提高，由于预算绩效管理工作开展时间较短，缺乏系统、全面的知识培训，影响预算绩效管理工作的有效开展及推进。</w:t>
      </w:r>
    </w:p>
    <w:p>
      <w:pPr>
        <w:pStyle w:val="10"/>
        <w:widowControl/>
        <w:numPr>
          <w:ilvl w:val="0"/>
          <w:numId w:val="1"/>
        </w:numPr>
        <w:spacing w:line="600" w:lineRule="exact"/>
        <w:ind w:left="840" w:firstLineChars="0"/>
        <w:jc w:val="left"/>
        <w:rPr>
          <w:rFonts w:ascii="Times New Roman" w:hAnsi="Times New Roman" w:eastAsia="黑体" w:cs="Times New Roman"/>
          <w:sz w:val="32"/>
          <w:szCs w:val="32"/>
        </w:rPr>
      </w:pPr>
      <w:r>
        <w:rPr>
          <w:rFonts w:ascii="黑体" w:hAnsi="黑体" w:eastAsia="黑体" w:cs="Times New Roman"/>
          <w:sz w:val="32"/>
          <w:szCs w:val="32"/>
        </w:rPr>
        <w:t>下一步改进措施</w:t>
      </w:r>
    </w:p>
    <w:p>
      <w:pPr>
        <w:widowControl/>
        <w:spacing w:line="600" w:lineRule="exact"/>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一是加强对本单位预算绩效评价管理工作的学习，进一步把握工作重点，不断提高预算绩效管理的水平。</w:t>
      </w:r>
    </w:p>
    <w:p>
      <w:pPr>
        <w:widowControl/>
        <w:spacing w:line="600" w:lineRule="exact"/>
        <w:ind w:firstLine="42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二是加强对项目进度的监控，对年中追加的项目及时跟进，及时支付项目资金，提高预算指标执行率，确保本单位指标的合理利用。</w:t>
      </w:r>
    </w:p>
    <w:p>
      <w:pPr>
        <w:pStyle w:val="10"/>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部门整体支出绩效自评结果拟应用和公开情况</w:t>
      </w:r>
    </w:p>
    <w:p>
      <w:pPr>
        <w:pStyle w:val="10"/>
        <w:widowControl/>
        <w:spacing w:line="600" w:lineRule="exact"/>
        <w:ind w:left="1360" w:firstLine="0" w:firstLineChars="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在本单位门户网站进行公开。</w:t>
      </w:r>
    </w:p>
    <w:p>
      <w:pPr>
        <w:pStyle w:val="10"/>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其他需要说明的情况</w:t>
      </w:r>
    </w:p>
    <w:p>
      <w:pPr>
        <w:pStyle w:val="10"/>
        <w:widowControl/>
        <w:spacing w:line="600" w:lineRule="exact"/>
        <w:ind w:left="1360"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72CCF"/>
    <w:multiLevelType w:val="multilevel"/>
    <w:tmpl w:val="51572CC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20449CB"/>
    <w:multiLevelType w:val="multilevel"/>
    <w:tmpl w:val="720449CB"/>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jNmQxYjM4ZTM0ZjAwY2E5MzIxZDk1YTRhNGQ1OTQifQ=="/>
  </w:docVars>
  <w:rsids>
    <w:rsidRoot w:val="00C53A60"/>
    <w:rsid w:val="000B2137"/>
    <w:rsid w:val="00154CD3"/>
    <w:rsid w:val="001D34DE"/>
    <w:rsid w:val="002150F7"/>
    <w:rsid w:val="002D2F80"/>
    <w:rsid w:val="004075AA"/>
    <w:rsid w:val="00552FAE"/>
    <w:rsid w:val="006556D5"/>
    <w:rsid w:val="006A521F"/>
    <w:rsid w:val="007616CB"/>
    <w:rsid w:val="008C4FBE"/>
    <w:rsid w:val="009F3475"/>
    <w:rsid w:val="00A96F09"/>
    <w:rsid w:val="00AA102A"/>
    <w:rsid w:val="00AE0F45"/>
    <w:rsid w:val="00B33A89"/>
    <w:rsid w:val="00C53A60"/>
    <w:rsid w:val="00D036FE"/>
    <w:rsid w:val="00D31D6B"/>
    <w:rsid w:val="00D42617"/>
    <w:rsid w:val="00D56EEA"/>
    <w:rsid w:val="00E35FF5"/>
    <w:rsid w:val="00E804E0"/>
    <w:rsid w:val="00EE53AA"/>
    <w:rsid w:val="00F20BE3"/>
    <w:rsid w:val="00FA35EA"/>
    <w:rsid w:val="0E0F6CB7"/>
    <w:rsid w:val="1C3A1F70"/>
    <w:rsid w:val="2D6B5C4A"/>
    <w:rsid w:val="55DB4F23"/>
    <w:rsid w:val="5B8338EA"/>
    <w:rsid w:val="6766208E"/>
    <w:rsid w:val="6A026ACA"/>
    <w:rsid w:val="76C27D0D"/>
    <w:rsid w:val="77784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宋体"/>
      <w:kern w:val="0"/>
      <w:sz w:val="28"/>
      <w:szCs w:val="28"/>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99"/>
    <w:rPr>
      <w:kern w:val="0"/>
      <w:sz w:val="20"/>
      <w:szCs w:val="20"/>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paragraph" w:customStyle="1" w:styleId="9">
    <w:name w:val="列出段落1"/>
    <w:basedOn w:val="1"/>
    <w:uiPriority w:val="0"/>
    <w:pPr>
      <w:ind w:firstLine="420" w:firstLineChars="200"/>
    </w:pPr>
    <w:rPr>
      <w:rFonts w:ascii="Calibri" w:hAnsi="Calibri" w:eastAsia="宋体" w:cs="Calibri"/>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1831</Words>
  <Characters>2029</Characters>
  <Lines>16</Lines>
  <Paragraphs>4</Paragraphs>
  <TotalTime>0</TotalTime>
  <ScaleCrop>false</ScaleCrop>
  <LinksUpToDate>false</LinksUpToDate>
  <CharactersWithSpaces>2051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2025-03-30T13:26:00Z</dcterms:created>
  <dc:creator>Lenovo</dc:creator>
  <cp:lastModifiedBy>蒋阔</cp:lastModifiedBy>
  <dcterms:modified xsi:type="dcterms:W3CDTF">2025-09-02T00:30:09Z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eyJoZGlkIjoiZTY1NmQxZjU5YTA1YTFhYTRmZmYwZGViZmMxNDVkMWQiLCJ1c2VySWQiOiI0NDA3ODU0MzIifQ==</vt:lpwstr>
  </property>
  <property fmtid="{D5CDD505-2E9C-101B-9397-08002B2CF9AE}" pid="3" name="KSOProductBuildVer">
    <vt:lpwstr>2052-11.1.0.12598</vt:lpwstr>
  </property>
  <property fmtid="{D5CDD505-2E9C-101B-9397-08002B2CF9AE}" pid="4" name="ICV">
    <vt:lpwstr>DCE81FFFAEAF4182ABE81A8C7C5CF76D_12</vt:lpwstr>
  </property>
</Properties>
</file>