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widowControl/>
        <w:spacing w:beforeAutospacing="0" w:afterAutospacing="0" w:line="560" w:lineRule="exact"/>
        <w:ind w:firstLine="420"/>
        <w:jc w:val="center"/>
        <w:rPr>
          <w:rStyle w:val="15"/>
          <w:rFonts w:ascii="黑体" w:hAnsi="黑体" w:eastAsia="黑体" w:cs="黑体"/>
          <w:b w:val="0"/>
          <w:color w:val="000000"/>
          <w:sz w:val="44"/>
          <w:szCs w:val="44"/>
        </w:rPr>
      </w:pPr>
      <w:r>
        <w:rPr>
          <w:rStyle w:val="15"/>
          <w:rFonts w:hint="eastAsia" w:ascii="黑体" w:hAnsi="黑体" w:eastAsia="黑体" w:cs="黑体"/>
          <w:b w:val="0"/>
          <w:color w:val="000000"/>
          <w:sz w:val="44"/>
          <w:szCs w:val="44"/>
        </w:rPr>
        <w:t>中共常宁市委党校</w:t>
      </w:r>
    </w:p>
    <w:p>
      <w:pPr>
        <w:pStyle w:val="11"/>
        <w:widowControl/>
        <w:spacing w:beforeAutospacing="0" w:afterAutospacing="0" w:line="560" w:lineRule="exact"/>
        <w:ind w:firstLine="420"/>
        <w:jc w:val="center"/>
        <w:rPr>
          <w:rStyle w:val="15"/>
          <w:rFonts w:ascii="黑体" w:hAnsi="黑体" w:eastAsia="黑体" w:cs="黑体"/>
          <w:b w:val="0"/>
          <w:color w:val="000000"/>
          <w:sz w:val="44"/>
          <w:szCs w:val="44"/>
        </w:rPr>
      </w:pPr>
      <w:r>
        <w:rPr>
          <w:rStyle w:val="15"/>
          <w:rFonts w:ascii="黑体" w:hAnsi="黑体" w:eastAsia="黑体" w:cs="黑体"/>
          <w:b w:val="0"/>
          <w:color w:val="000000"/>
          <w:sz w:val="44"/>
          <w:szCs w:val="44"/>
        </w:rPr>
        <w:t>2024</w:t>
      </w:r>
      <w:r>
        <w:rPr>
          <w:rStyle w:val="15"/>
          <w:rFonts w:hint="eastAsia" w:ascii="黑体" w:hAnsi="黑体" w:eastAsia="黑体" w:cs="黑体"/>
          <w:b w:val="0"/>
          <w:color w:val="000000"/>
          <w:sz w:val="44"/>
          <w:szCs w:val="44"/>
        </w:rPr>
        <w:t>年部门整体支出绩效评价报告</w:t>
      </w:r>
    </w:p>
    <w:p>
      <w:pPr>
        <w:spacing w:line="592" w:lineRule="exact"/>
        <w:ind w:firstLine="640" w:firstLineChars="200"/>
        <w:outlineLvl w:val="0"/>
        <w:rPr>
          <w:rFonts w:ascii="宋体" w:hAnsi="宋体" w:eastAsia="宋体" w:cs="宋体"/>
          <w:sz w:val="32"/>
          <w:szCs w:val="32"/>
        </w:rPr>
      </w:pPr>
    </w:p>
    <w:p>
      <w:pPr>
        <w:spacing w:line="58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为加强财政支出绩效管理，提高财政资金使用效益，根据《湖南省预算支出绩效评价管理办法》（湘财绩〔</w:t>
      </w:r>
      <w:r>
        <w:rPr>
          <w:rFonts w:ascii="仿宋" w:hAnsi="仿宋" w:eastAsia="仿宋" w:cs="仿宋"/>
          <w:color w:val="000000"/>
          <w:sz w:val="32"/>
          <w:szCs w:val="32"/>
        </w:rPr>
        <w:t>2020</w:t>
      </w:r>
      <w:r>
        <w:rPr>
          <w:rFonts w:hint="eastAsia" w:ascii="仿宋" w:hAnsi="仿宋" w:eastAsia="仿宋" w:cs="仿宋"/>
          <w:color w:val="000000"/>
          <w:sz w:val="32"/>
          <w:szCs w:val="32"/>
        </w:rPr>
        <w:t>〕</w:t>
      </w:r>
      <w:r>
        <w:rPr>
          <w:rFonts w:ascii="仿宋" w:hAnsi="仿宋" w:eastAsia="仿宋" w:cs="仿宋"/>
          <w:color w:val="000000"/>
          <w:sz w:val="32"/>
          <w:szCs w:val="32"/>
        </w:rPr>
        <w:t>7</w:t>
      </w:r>
      <w:r>
        <w:rPr>
          <w:rFonts w:hint="eastAsia" w:ascii="仿宋" w:hAnsi="仿宋" w:eastAsia="仿宋" w:cs="仿宋"/>
          <w:color w:val="000000"/>
          <w:sz w:val="32"/>
          <w:szCs w:val="32"/>
        </w:rPr>
        <w:t>号）、常宁市财政局《关于开展</w:t>
      </w:r>
      <w:r>
        <w:rPr>
          <w:rFonts w:ascii="仿宋" w:hAnsi="仿宋" w:eastAsia="仿宋" w:cs="仿宋"/>
          <w:color w:val="000000"/>
          <w:sz w:val="32"/>
          <w:szCs w:val="32"/>
        </w:rPr>
        <w:t>2024</w:t>
      </w:r>
      <w:r>
        <w:rPr>
          <w:rFonts w:hint="eastAsia" w:ascii="仿宋" w:hAnsi="仿宋" w:eastAsia="仿宋" w:cs="仿宋"/>
          <w:color w:val="000000"/>
          <w:sz w:val="32"/>
          <w:szCs w:val="32"/>
        </w:rPr>
        <w:t>年度预算支出绩效自评工作的通知》（常财绩〔</w:t>
      </w:r>
      <w:r>
        <w:rPr>
          <w:rFonts w:ascii="仿宋" w:hAnsi="仿宋" w:eastAsia="仿宋" w:cs="仿宋"/>
          <w:color w:val="000000"/>
          <w:sz w:val="32"/>
          <w:szCs w:val="32"/>
        </w:rPr>
        <w:t>2025</w:t>
      </w:r>
      <w:r>
        <w:rPr>
          <w:rFonts w:hint="eastAsia" w:ascii="仿宋" w:hAnsi="仿宋" w:eastAsia="仿宋" w:cs="仿宋"/>
          <w:color w:val="000000"/>
          <w:sz w:val="32"/>
          <w:szCs w:val="32"/>
        </w:rPr>
        <w:t>〕</w:t>
      </w:r>
      <w:r>
        <w:rPr>
          <w:rFonts w:ascii="仿宋" w:hAnsi="仿宋" w:eastAsia="仿宋" w:cs="仿宋"/>
          <w:color w:val="000000"/>
          <w:sz w:val="32"/>
          <w:szCs w:val="32"/>
        </w:rPr>
        <w:t>19</w:t>
      </w:r>
      <w:r>
        <w:rPr>
          <w:rFonts w:hint="eastAsia" w:ascii="仿宋" w:hAnsi="仿宋" w:eastAsia="仿宋" w:cs="仿宋"/>
          <w:color w:val="000000"/>
          <w:sz w:val="32"/>
          <w:szCs w:val="32"/>
        </w:rPr>
        <w:t>号）等文件精神，我单位对</w:t>
      </w:r>
      <w:r>
        <w:rPr>
          <w:rFonts w:ascii="仿宋" w:hAnsi="仿宋" w:eastAsia="仿宋" w:cs="仿宋"/>
          <w:color w:val="000000"/>
          <w:sz w:val="32"/>
          <w:szCs w:val="32"/>
        </w:rPr>
        <w:t>2024</w:t>
      </w:r>
      <w:r>
        <w:rPr>
          <w:rFonts w:hint="eastAsia" w:ascii="仿宋" w:hAnsi="仿宋" w:eastAsia="仿宋" w:cs="仿宋"/>
          <w:color w:val="000000"/>
          <w:sz w:val="32"/>
          <w:szCs w:val="32"/>
        </w:rPr>
        <w:t>年度部门整体支出进行了绩效自评，现将评价情况报告如下：</w:t>
      </w:r>
    </w:p>
    <w:p>
      <w:pPr>
        <w:spacing w:line="592" w:lineRule="exact"/>
        <w:ind w:firstLine="640" w:firstLineChars="200"/>
        <w:outlineLvl w:val="0"/>
        <w:rPr>
          <w:rFonts w:eastAsia="黑体"/>
          <w:sz w:val="32"/>
          <w:szCs w:val="32"/>
        </w:rPr>
      </w:pPr>
      <w:r>
        <w:rPr>
          <w:rFonts w:hint="eastAsia" w:eastAsia="黑体"/>
          <w:sz w:val="32"/>
          <w:szCs w:val="32"/>
        </w:rPr>
        <w:t>一、部门基本情况</w:t>
      </w:r>
    </w:p>
    <w:p>
      <w:pPr>
        <w:spacing w:line="58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（一）机构、人员构成</w:t>
      </w:r>
    </w:p>
    <w:p>
      <w:pPr>
        <w:spacing w:line="58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中共常宁市委党校系市委机构，根据编委核定本单位内设处室</w:t>
      </w:r>
      <w:r>
        <w:rPr>
          <w:rFonts w:ascii="仿宋" w:hAnsi="仿宋" w:eastAsia="仿宋" w:cs="仿宋"/>
          <w:color w:val="000000"/>
          <w:sz w:val="32"/>
          <w:szCs w:val="32"/>
        </w:rPr>
        <w:t>5</w:t>
      </w:r>
      <w:r>
        <w:rPr>
          <w:rFonts w:hint="eastAsia" w:ascii="仿宋" w:hAnsi="仿宋" w:eastAsia="仿宋" w:cs="仿宋"/>
          <w:color w:val="000000"/>
          <w:sz w:val="32"/>
          <w:szCs w:val="32"/>
        </w:rPr>
        <w:t>个，所属事业单位</w:t>
      </w:r>
      <w:r>
        <w:rPr>
          <w:rFonts w:ascii="仿宋" w:hAnsi="仿宋" w:eastAsia="仿宋" w:cs="仿宋"/>
          <w:color w:val="000000"/>
          <w:sz w:val="32"/>
          <w:szCs w:val="32"/>
        </w:rPr>
        <w:t>1</w:t>
      </w:r>
      <w:r>
        <w:rPr>
          <w:rFonts w:hint="eastAsia" w:ascii="仿宋" w:hAnsi="仿宋" w:eastAsia="仿宋" w:cs="仿宋"/>
          <w:color w:val="000000"/>
          <w:sz w:val="32"/>
          <w:szCs w:val="32"/>
        </w:rPr>
        <w:t>个。其中：内设处室分别是教研室、教务室、总务室、办公室、学员管理室。</w:t>
      </w:r>
    </w:p>
    <w:p>
      <w:pPr>
        <w:spacing w:line="58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（二）单位主要职能职责</w:t>
      </w:r>
    </w:p>
    <w:p>
      <w:pPr>
        <w:spacing w:line="580" w:lineRule="exact"/>
        <w:ind w:firstLine="640" w:firstLineChars="200"/>
        <w:rPr>
          <w:rFonts w:ascii="仿宋" w:hAnsi="仿宋" w:eastAsia="仿宋" w:cs="仿宋"/>
          <w:color w:val="000000"/>
          <w:sz w:val="32"/>
          <w:szCs w:val="32"/>
        </w:rPr>
      </w:pPr>
      <w:r>
        <w:rPr>
          <w:rFonts w:ascii="仿宋" w:hAnsi="仿宋" w:eastAsia="仿宋" w:cs="仿宋"/>
          <w:color w:val="000000"/>
          <w:sz w:val="32"/>
          <w:szCs w:val="32"/>
        </w:rPr>
        <w:t>1.</w:t>
      </w:r>
      <w:r>
        <w:rPr>
          <w:rFonts w:hint="eastAsia" w:ascii="仿宋" w:hAnsi="仿宋" w:eastAsia="仿宋" w:cs="仿宋"/>
          <w:color w:val="000000"/>
          <w:sz w:val="32"/>
          <w:szCs w:val="32"/>
        </w:rPr>
        <w:t>培训轮训副科级党员领导干部及后备干部、基层乡镇机关干部、农村支部书记，培养理论干部。</w:t>
      </w:r>
    </w:p>
    <w:p>
      <w:pPr>
        <w:spacing w:line="580" w:lineRule="exact"/>
        <w:ind w:firstLine="640" w:firstLineChars="200"/>
        <w:rPr>
          <w:rFonts w:ascii="仿宋" w:hAnsi="仿宋" w:eastAsia="仿宋" w:cs="仿宋"/>
          <w:color w:val="000000"/>
          <w:sz w:val="32"/>
          <w:szCs w:val="32"/>
        </w:rPr>
      </w:pPr>
      <w:r>
        <w:rPr>
          <w:rFonts w:ascii="仿宋" w:hAnsi="仿宋" w:eastAsia="仿宋" w:cs="仿宋"/>
          <w:color w:val="000000"/>
          <w:sz w:val="32"/>
          <w:szCs w:val="32"/>
        </w:rPr>
        <w:t>2.</w:t>
      </w:r>
      <w:r>
        <w:rPr>
          <w:rFonts w:hint="eastAsia" w:ascii="仿宋" w:hAnsi="仿宋" w:eastAsia="仿宋" w:cs="仿宋"/>
          <w:color w:val="000000"/>
          <w:sz w:val="32"/>
          <w:szCs w:val="32"/>
        </w:rPr>
        <w:t>承办市委和政府主办的专题研讨班。</w:t>
      </w:r>
    </w:p>
    <w:p>
      <w:pPr>
        <w:spacing w:line="580" w:lineRule="exact"/>
        <w:ind w:firstLine="640" w:firstLineChars="200"/>
        <w:rPr>
          <w:rFonts w:ascii="仿宋" w:hAnsi="仿宋" w:eastAsia="仿宋" w:cs="仿宋"/>
          <w:color w:val="000000"/>
          <w:sz w:val="32"/>
          <w:szCs w:val="32"/>
        </w:rPr>
      </w:pPr>
      <w:r>
        <w:rPr>
          <w:rFonts w:ascii="仿宋" w:hAnsi="仿宋" w:eastAsia="仿宋" w:cs="仿宋"/>
          <w:color w:val="000000"/>
          <w:sz w:val="32"/>
          <w:szCs w:val="32"/>
        </w:rPr>
        <w:t>3.</w:t>
      </w:r>
      <w:r>
        <w:rPr>
          <w:rFonts w:hint="eastAsia" w:ascii="仿宋" w:hAnsi="仿宋" w:eastAsia="仿宋" w:cs="仿宋"/>
          <w:color w:val="000000"/>
          <w:sz w:val="32"/>
          <w:szCs w:val="32"/>
        </w:rPr>
        <w:t>围绕国际国内出现的新情况新问题开展科学研究，承担市委和政府下达的调研和决策咨询任务，推进理论创新和工作创新。</w:t>
      </w:r>
    </w:p>
    <w:p>
      <w:pPr>
        <w:spacing w:line="580" w:lineRule="exact"/>
        <w:ind w:firstLine="640" w:firstLineChars="200"/>
        <w:rPr>
          <w:rFonts w:ascii="仿宋" w:hAnsi="仿宋" w:eastAsia="仿宋" w:cs="仿宋"/>
          <w:color w:val="000000"/>
          <w:sz w:val="32"/>
          <w:szCs w:val="32"/>
        </w:rPr>
      </w:pPr>
      <w:r>
        <w:rPr>
          <w:rFonts w:ascii="仿宋" w:hAnsi="仿宋" w:eastAsia="仿宋" w:cs="仿宋"/>
          <w:color w:val="000000"/>
          <w:sz w:val="32"/>
          <w:szCs w:val="32"/>
        </w:rPr>
        <w:t>4.</w:t>
      </w:r>
      <w:r>
        <w:rPr>
          <w:rFonts w:hint="eastAsia" w:ascii="仿宋" w:hAnsi="仿宋" w:eastAsia="仿宋" w:cs="仿宋"/>
          <w:color w:val="000000"/>
          <w:sz w:val="32"/>
          <w:szCs w:val="32"/>
        </w:rPr>
        <w:t>针对改革开放和社会主义现代化进程中的重大理论和现实问题，开展马克思主义中国化最新成果的理论宣传，开展党的路线、方针、政策的宣传。</w:t>
      </w:r>
    </w:p>
    <w:p>
      <w:pPr>
        <w:spacing w:line="580" w:lineRule="exact"/>
        <w:ind w:firstLine="640" w:firstLineChars="200"/>
        <w:rPr>
          <w:rFonts w:ascii="仿宋" w:hAnsi="仿宋" w:eastAsia="仿宋" w:cs="仿宋"/>
          <w:color w:val="000000"/>
          <w:sz w:val="32"/>
          <w:szCs w:val="32"/>
        </w:rPr>
      </w:pPr>
      <w:r>
        <w:rPr>
          <w:rFonts w:ascii="仿宋" w:hAnsi="仿宋" w:eastAsia="仿宋" w:cs="仿宋"/>
          <w:color w:val="000000"/>
          <w:sz w:val="32"/>
          <w:szCs w:val="32"/>
        </w:rPr>
        <w:t>5.</w:t>
      </w:r>
      <w:r>
        <w:rPr>
          <w:rFonts w:hint="eastAsia" w:ascii="仿宋" w:hAnsi="仿宋" w:eastAsia="仿宋" w:cs="仿宋"/>
          <w:color w:val="000000"/>
          <w:sz w:val="32"/>
          <w:szCs w:val="32"/>
        </w:rPr>
        <w:t>按照国家有关法律法规和政策规定，开展干部在线教育等多种形部继续教育和培训。</w:t>
      </w:r>
    </w:p>
    <w:p>
      <w:pPr>
        <w:spacing w:line="580" w:lineRule="exact"/>
        <w:ind w:firstLine="640" w:firstLineChars="200"/>
        <w:rPr>
          <w:rFonts w:ascii="仿宋" w:hAnsi="仿宋" w:eastAsia="仿宋" w:cs="仿宋"/>
          <w:color w:val="000000"/>
          <w:sz w:val="32"/>
          <w:szCs w:val="32"/>
        </w:rPr>
      </w:pPr>
      <w:r>
        <w:rPr>
          <w:rFonts w:ascii="仿宋" w:hAnsi="仿宋" w:eastAsia="仿宋" w:cs="仿宋"/>
          <w:color w:val="000000"/>
          <w:sz w:val="32"/>
          <w:szCs w:val="32"/>
        </w:rPr>
        <w:t>6.</w:t>
      </w:r>
      <w:r>
        <w:rPr>
          <w:rFonts w:hint="eastAsia" w:ascii="仿宋" w:hAnsi="仿宋" w:eastAsia="仿宋" w:cs="仿宋"/>
          <w:color w:val="000000"/>
          <w:sz w:val="32"/>
          <w:szCs w:val="32"/>
        </w:rPr>
        <w:t>开展同国内国外教育、研究等机构和组织的合作与交流。</w:t>
      </w:r>
    </w:p>
    <w:p>
      <w:pPr>
        <w:spacing w:line="58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（三）人员情况</w:t>
      </w:r>
    </w:p>
    <w:p>
      <w:pPr>
        <w:spacing w:line="58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部门编制数</w:t>
      </w:r>
      <w:r>
        <w:rPr>
          <w:rFonts w:ascii="仿宋" w:hAnsi="仿宋" w:eastAsia="仿宋" w:cs="仿宋"/>
          <w:color w:val="000000"/>
          <w:sz w:val="32"/>
          <w:szCs w:val="32"/>
        </w:rPr>
        <w:t>25</w:t>
      </w:r>
      <w:r>
        <w:rPr>
          <w:rFonts w:hint="eastAsia" w:ascii="仿宋" w:hAnsi="仿宋" w:eastAsia="仿宋" w:cs="仿宋"/>
          <w:color w:val="000000"/>
          <w:sz w:val="32"/>
          <w:szCs w:val="32"/>
        </w:rPr>
        <w:t>人</w:t>
      </w:r>
      <w:r>
        <w:rPr>
          <w:rFonts w:ascii="仿宋" w:hAnsi="仿宋" w:eastAsia="仿宋" w:cs="仿宋"/>
          <w:color w:val="000000"/>
          <w:sz w:val="32"/>
          <w:szCs w:val="32"/>
        </w:rPr>
        <w:t>,</w:t>
      </w:r>
      <w:r>
        <w:rPr>
          <w:rFonts w:hint="eastAsia" w:ascii="仿宋" w:hAnsi="仿宋" w:eastAsia="仿宋" w:cs="仿宋"/>
          <w:color w:val="000000"/>
          <w:sz w:val="32"/>
          <w:szCs w:val="32"/>
        </w:rPr>
        <w:t>在职人数</w:t>
      </w:r>
      <w:r>
        <w:rPr>
          <w:rFonts w:ascii="仿宋" w:hAnsi="仿宋" w:eastAsia="仿宋" w:cs="仿宋"/>
          <w:color w:val="000000"/>
          <w:sz w:val="32"/>
          <w:szCs w:val="32"/>
        </w:rPr>
        <w:t>22</w:t>
      </w:r>
      <w:r>
        <w:rPr>
          <w:rFonts w:hint="eastAsia" w:ascii="仿宋" w:hAnsi="仿宋" w:eastAsia="仿宋" w:cs="仿宋"/>
          <w:color w:val="000000"/>
          <w:sz w:val="32"/>
          <w:szCs w:val="32"/>
        </w:rPr>
        <w:t>人。</w:t>
      </w:r>
    </w:p>
    <w:p>
      <w:pPr>
        <w:widowControl/>
        <w:spacing w:line="600" w:lineRule="atLeast"/>
        <w:ind w:firstLine="630"/>
      </w:pPr>
      <w:r>
        <w:rPr>
          <w:rFonts w:hint="eastAsia" w:ascii="黑体" w:hAnsi="黑体" w:eastAsia="黑体" w:cs="黑体"/>
          <w:sz w:val="32"/>
          <w:szCs w:val="32"/>
        </w:rPr>
        <w:t>二、</w:t>
      </w:r>
      <w:r>
        <w:rPr>
          <w:rFonts w:hint="eastAsia" w:ascii="黑体" w:hAnsi="宋体" w:eastAsia="黑体" w:cs="黑体"/>
          <w:color w:val="333333"/>
          <w:kern w:val="0"/>
          <w:sz w:val="32"/>
          <w:szCs w:val="32"/>
          <w:shd w:val="clear" w:color="auto" w:fill="FFFFFF"/>
        </w:rPr>
        <w:t>一般公共预算支出情况</w:t>
      </w:r>
    </w:p>
    <w:p>
      <w:pPr>
        <w:widowControl/>
        <w:adjustRightInd w:val="0"/>
        <w:snapToGrid w:val="0"/>
        <w:spacing w:line="560" w:lineRule="exac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2024</w:t>
      </w:r>
      <w:r>
        <w:rPr>
          <w:rFonts w:hint="eastAsia" w:ascii="仿宋" w:hAnsi="仿宋" w:eastAsia="仿宋" w:cs="仿宋"/>
          <w:color w:val="000000"/>
          <w:kern w:val="0"/>
          <w:sz w:val="32"/>
          <w:szCs w:val="32"/>
        </w:rPr>
        <w:t>年中共常宁市委党校一般公共预算收入、支出均为</w:t>
      </w:r>
      <w:r>
        <w:rPr>
          <w:rFonts w:ascii="仿宋" w:hAnsi="仿宋" w:eastAsia="仿宋" w:cs="仿宋"/>
          <w:color w:val="000000"/>
          <w:kern w:val="0"/>
          <w:sz w:val="32"/>
          <w:szCs w:val="32"/>
        </w:rPr>
        <w:t>373.08</w:t>
      </w:r>
      <w:r>
        <w:rPr>
          <w:rFonts w:hint="eastAsia" w:ascii="仿宋" w:hAnsi="仿宋" w:eastAsia="仿宋" w:cs="仿宋"/>
          <w:color w:val="000000"/>
          <w:kern w:val="0"/>
          <w:sz w:val="32"/>
          <w:szCs w:val="32"/>
        </w:rPr>
        <w:t>万元。</w:t>
      </w:r>
    </w:p>
    <w:p>
      <w:pPr>
        <w:spacing w:line="58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（一）基本支出情况</w:t>
      </w:r>
    </w:p>
    <w:p>
      <w:pPr>
        <w:widowControl/>
        <w:adjustRightInd w:val="0"/>
        <w:snapToGrid w:val="0"/>
        <w:spacing w:line="560" w:lineRule="exac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2024</w:t>
      </w:r>
      <w:r>
        <w:rPr>
          <w:rFonts w:hint="eastAsia" w:ascii="仿宋" w:hAnsi="仿宋" w:eastAsia="仿宋" w:cs="仿宋"/>
          <w:color w:val="000000"/>
          <w:kern w:val="0"/>
          <w:sz w:val="32"/>
          <w:szCs w:val="32"/>
        </w:rPr>
        <w:t>年基本支出为</w:t>
      </w:r>
      <w:r>
        <w:rPr>
          <w:rFonts w:ascii="仿宋" w:hAnsi="仿宋" w:eastAsia="仿宋" w:cs="仿宋"/>
          <w:color w:val="000000"/>
          <w:kern w:val="0"/>
          <w:sz w:val="32"/>
          <w:szCs w:val="32"/>
        </w:rPr>
        <w:t>284.96</w:t>
      </w:r>
      <w:r>
        <w:rPr>
          <w:rFonts w:hint="eastAsia" w:ascii="仿宋" w:hAnsi="仿宋" w:eastAsia="仿宋" w:cs="仿宋"/>
          <w:color w:val="000000"/>
          <w:kern w:val="0"/>
          <w:sz w:val="32"/>
          <w:szCs w:val="32"/>
        </w:rPr>
        <w:t>万元，其中人员经费</w:t>
      </w:r>
      <w:r>
        <w:rPr>
          <w:rFonts w:ascii="仿宋" w:hAnsi="仿宋" w:eastAsia="仿宋" w:cs="仿宋"/>
          <w:color w:val="000000"/>
          <w:kern w:val="0"/>
          <w:sz w:val="32"/>
          <w:szCs w:val="32"/>
        </w:rPr>
        <w:t>251.28</w:t>
      </w:r>
      <w:r>
        <w:rPr>
          <w:rFonts w:hint="eastAsia" w:ascii="仿宋" w:hAnsi="仿宋" w:eastAsia="仿宋" w:cs="仿宋"/>
          <w:color w:val="000000"/>
          <w:kern w:val="0"/>
          <w:sz w:val="32"/>
          <w:szCs w:val="32"/>
        </w:rPr>
        <w:t>万元，公用经费</w:t>
      </w:r>
      <w:r>
        <w:rPr>
          <w:rFonts w:ascii="仿宋" w:hAnsi="仿宋" w:eastAsia="仿宋" w:cs="仿宋"/>
          <w:color w:val="000000"/>
          <w:kern w:val="0"/>
          <w:sz w:val="32"/>
          <w:szCs w:val="32"/>
        </w:rPr>
        <w:t>33.68</w:t>
      </w:r>
      <w:r>
        <w:rPr>
          <w:rFonts w:hint="eastAsia" w:ascii="仿宋" w:hAnsi="仿宋" w:eastAsia="仿宋" w:cs="仿宋"/>
          <w:color w:val="000000"/>
          <w:kern w:val="0"/>
          <w:sz w:val="32"/>
          <w:szCs w:val="32"/>
        </w:rPr>
        <w:t>万元，与</w:t>
      </w:r>
      <w:r>
        <w:rPr>
          <w:rFonts w:ascii="仿宋" w:hAnsi="仿宋" w:eastAsia="仿宋" w:cs="仿宋"/>
          <w:color w:val="000000"/>
          <w:kern w:val="0"/>
          <w:sz w:val="32"/>
          <w:szCs w:val="32"/>
        </w:rPr>
        <w:t>2023</w:t>
      </w:r>
      <w:r>
        <w:rPr>
          <w:rFonts w:hint="eastAsia" w:ascii="仿宋" w:hAnsi="仿宋" w:eastAsia="仿宋" w:cs="仿宋"/>
          <w:color w:val="000000"/>
          <w:kern w:val="0"/>
          <w:sz w:val="32"/>
          <w:szCs w:val="32"/>
        </w:rPr>
        <w:t>年相比减少</w:t>
      </w:r>
      <w:r>
        <w:rPr>
          <w:rFonts w:ascii="仿宋" w:hAnsi="仿宋" w:eastAsia="仿宋" w:cs="仿宋"/>
          <w:color w:val="000000"/>
          <w:kern w:val="0"/>
          <w:sz w:val="32"/>
          <w:szCs w:val="32"/>
        </w:rPr>
        <w:t>36.16</w:t>
      </w:r>
      <w:r>
        <w:rPr>
          <w:rFonts w:hint="eastAsia" w:ascii="仿宋" w:hAnsi="仿宋" w:eastAsia="仿宋" w:cs="仿宋"/>
          <w:color w:val="000000"/>
          <w:kern w:val="0"/>
          <w:sz w:val="32"/>
          <w:szCs w:val="32"/>
        </w:rPr>
        <w:t>万元，减少</w:t>
      </w:r>
      <w:r>
        <w:rPr>
          <w:rFonts w:ascii="仿宋" w:hAnsi="仿宋" w:eastAsia="仿宋" w:cs="仿宋"/>
          <w:color w:val="000000"/>
          <w:kern w:val="0"/>
          <w:sz w:val="32"/>
          <w:szCs w:val="32"/>
        </w:rPr>
        <w:t>11.26%,</w:t>
      </w:r>
      <w:r>
        <w:rPr>
          <w:rFonts w:hint="eastAsia" w:ascii="仿宋" w:hAnsi="仿宋" w:eastAsia="仿宋" w:cs="仿宋"/>
          <w:color w:val="000000"/>
          <w:kern w:val="0"/>
          <w:sz w:val="32"/>
          <w:szCs w:val="32"/>
        </w:rPr>
        <w:t>主要原因：压缩开支。</w:t>
      </w:r>
    </w:p>
    <w:p>
      <w:pPr>
        <w:spacing w:line="58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（二）项目支出情况</w:t>
      </w:r>
    </w:p>
    <w:p>
      <w:pPr>
        <w:widowControl/>
        <w:adjustRightInd w:val="0"/>
        <w:snapToGrid w:val="0"/>
        <w:spacing w:line="560" w:lineRule="exac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2024</w:t>
      </w:r>
      <w:r>
        <w:rPr>
          <w:rFonts w:hint="eastAsia" w:ascii="仿宋" w:hAnsi="仿宋" w:eastAsia="仿宋" w:cs="仿宋"/>
          <w:color w:val="000000"/>
          <w:kern w:val="0"/>
          <w:sz w:val="32"/>
          <w:szCs w:val="32"/>
        </w:rPr>
        <w:t>年项目支出为</w:t>
      </w:r>
      <w:r>
        <w:rPr>
          <w:rFonts w:ascii="仿宋" w:hAnsi="仿宋" w:eastAsia="仿宋" w:cs="仿宋"/>
          <w:color w:val="000000"/>
          <w:kern w:val="0"/>
          <w:sz w:val="32"/>
          <w:szCs w:val="32"/>
        </w:rPr>
        <w:t>88.12</w:t>
      </w:r>
      <w:r>
        <w:rPr>
          <w:rFonts w:hint="eastAsia" w:ascii="仿宋" w:hAnsi="仿宋" w:eastAsia="仿宋" w:cs="仿宋"/>
          <w:color w:val="000000"/>
          <w:kern w:val="0"/>
          <w:sz w:val="32"/>
          <w:szCs w:val="32"/>
        </w:rPr>
        <w:t>万元，与</w:t>
      </w:r>
      <w:r>
        <w:rPr>
          <w:rFonts w:ascii="仿宋" w:hAnsi="仿宋" w:eastAsia="仿宋" w:cs="仿宋"/>
          <w:color w:val="000000"/>
          <w:kern w:val="0"/>
          <w:sz w:val="32"/>
          <w:szCs w:val="32"/>
        </w:rPr>
        <w:t>2023</w:t>
      </w:r>
      <w:r>
        <w:rPr>
          <w:rFonts w:hint="eastAsia" w:ascii="仿宋" w:hAnsi="仿宋" w:eastAsia="仿宋" w:cs="仿宋"/>
          <w:color w:val="000000"/>
          <w:kern w:val="0"/>
          <w:sz w:val="32"/>
          <w:szCs w:val="32"/>
        </w:rPr>
        <w:t>年相比减少</w:t>
      </w:r>
      <w:r>
        <w:rPr>
          <w:rFonts w:ascii="仿宋" w:hAnsi="仿宋" w:eastAsia="仿宋" w:cs="仿宋"/>
          <w:color w:val="000000"/>
          <w:kern w:val="0"/>
          <w:sz w:val="32"/>
          <w:szCs w:val="32"/>
        </w:rPr>
        <w:t>27.34</w:t>
      </w:r>
      <w:r>
        <w:rPr>
          <w:rFonts w:hint="eastAsia" w:ascii="仿宋" w:hAnsi="仿宋" w:eastAsia="仿宋" w:cs="仿宋"/>
          <w:color w:val="000000"/>
          <w:kern w:val="0"/>
          <w:sz w:val="32"/>
          <w:szCs w:val="32"/>
        </w:rPr>
        <w:t>万元，减少</w:t>
      </w:r>
      <w:r>
        <w:rPr>
          <w:rFonts w:ascii="仿宋" w:hAnsi="仿宋" w:eastAsia="仿宋" w:cs="仿宋"/>
          <w:color w:val="000000"/>
          <w:kern w:val="0"/>
          <w:sz w:val="32"/>
          <w:szCs w:val="32"/>
        </w:rPr>
        <w:t>23.68%</w:t>
      </w:r>
      <w:r>
        <w:rPr>
          <w:rFonts w:hint="eastAsia" w:ascii="仿宋" w:hAnsi="仿宋" w:eastAsia="仿宋" w:cs="仿宋"/>
          <w:color w:val="000000"/>
          <w:kern w:val="0"/>
          <w:sz w:val="32"/>
          <w:szCs w:val="32"/>
        </w:rPr>
        <w:t>，主要原因：项目减少。</w:t>
      </w:r>
    </w:p>
    <w:p>
      <w:pPr>
        <w:widowControl/>
        <w:adjustRightInd w:val="0"/>
        <w:snapToGrid w:val="0"/>
        <w:spacing w:line="560" w:lineRule="exac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2024</w:t>
      </w:r>
      <w:r>
        <w:rPr>
          <w:rFonts w:hint="eastAsia" w:ascii="仿宋" w:hAnsi="仿宋" w:eastAsia="仿宋" w:cs="仿宋"/>
          <w:color w:val="000000"/>
          <w:kern w:val="0"/>
          <w:sz w:val="32"/>
          <w:szCs w:val="32"/>
        </w:rPr>
        <w:t>年项目支出主要为干部教育培训费</w:t>
      </w:r>
      <w:r>
        <w:rPr>
          <w:rFonts w:ascii="仿宋" w:hAnsi="仿宋" w:eastAsia="仿宋" w:cs="仿宋"/>
          <w:color w:val="000000"/>
          <w:kern w:val="0"/>
          <w:sz w:val="32"/>
          <w:szCs w:val="32"/>
        </w:rPr>
        <w:t>44.99</w:t>
      </w:r>
      <w:r>
        <w:rPr>
          <w:rFonts w:hint="eastAsia" w:ascii="仿宋" w:hAnsi="仿宋" w:eastAsia="仿宋" w:cs="仿宋"/>
          <w:color w:val="000000"/>
          <w:kern w:val="0"/>
          <w:sz w:val="32"/>
          <w:szCs w:val="32"/>
        </w:rPr>
        <w:t>万元、科研咨政经费</w:t>
      </w:r>
      <w:r>
        <w:rPr>
          <w:rFonts w:ascii="仿宋" w:hAnsi="仿宋" w:eastAsia="仿宋" w:cs="仿宋"/>
          <w:color w:val="000000"/>
          <w:kern w:val="0"/>
          <w:sz w:val="32"/>
          <w:szCs w:val="32"/>
        </w:rPr>
        <w:t>35.12</w:t>
      </w:r>
      <w:r>
        <w:rPr>
          <w:rFonts w:hint="eastAsia" w:ascii="仿宋" w:hAnsi="仿宋" w:eastAsia="仿宋" w:cs="仿宋"/>
          <w:color w:val="000000"/>
          <w:kern w:val="0"/>
          <w:sz w:val="32"/>
          <w:szCs w:val="32"/>
        </w:rPr>
        <w:t>万元。</w:t>
      </w:r>
    </w:p>
    <w:p>
      <w:pPr>
        <w:widowControl/>
        <w:adjustRightInd w:val="0"/>
        <w:snapToGrid w:val="0"/>
        <w:spacing w:line="56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单位制定了财务管理制度，资金使用规范，符合国家财经法规和财务管理以及专项资金管理办法的相关规定，不存在超标准开支情况和截留、挤占、挪用项目资金情况。</w:t>
      </w:r>
    </w:p>
    <w:p>
      <w:pPr>
        <w:numPr>
          <w:ilvl w:val="0"/>
          <w:numId w:val="1"/>
        </w:numPr>
        <w:adjustRightInd w:val="0"/>
        <w:snapToGrid w:val="0"/>
        <w:spacing w:line="580" w:lineRule="exact"/>
        <w:ind w:firstLine="640" w:firstLineChars="200"/>
        <w:outlineLvl w:val="0"/>
        <w:rPr>
          <w:rFonts w:eastAsia="黑体"/>
          <w:sz w:val="32"/>
          <w:szCs w:val="32"/>
        </w:rPr>
      </w:pPr>
      <w:r>
        <w:rPr>
          <w:rFonts w:hint="eastAsia" w:eastAsia="黑体"/>
          <w:sz w:val="32"/>
          <w:szCs w:val="32"/>
        </w:rPr>
        <w:t>政府性基金预算支出情况</w:t>
      </w:r>
    </w:p>
    <w:p>
      <w:pPr>
        <w:widowControl/>
        <w:adjustRightInd w:val="0"/>
        <w:snapToGrid w:val="0"/>
        <w:spacing w:line="56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无</w:t>
      </w:r>
    </w:p>
    <w:p>
      <w:pPr>
        <w:numPr>
          <w:ilvl w:val="0"/>
          <w:numId w:val="1"/>
        </w:numPr>
        <w:adjustRightInd w:val="0"/>
        <w:snapToGrid w:val="0"/>
        <w:spacing w:line="580" w:lineRule="exact"/>
        <w:ind w:firstLine="640" w:firstLineChars="200"/>
        <w:outlineLvl w:val="0"/>
        <w:rPr>
          <w:rFonts w:eastAsia="黑体"/>
          <w:sz w:val="32"/>
          <w:szCs w:val="32"/>
        </w:rPr>
      </w:pPr>
      <w:r>
        <w:rPr>
          <w:rFonts w:hint="eastAsia" w:eastAsia="黑体"/>
          <w:sz w:val="32"/>
          <w:szCs w:val="32"/>
        </w:rPr>
        <w:t>国有资本经营预算支出情况</w:t>
      </w:r>
    </w:p>
    <w:p>
      <w:pPr>
        <w:widowControl/>
        <w:adjustRightInd w:val="0"/>
        <w:snapToGrid w:val="0"/>
        <w:spacing w:line="56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无</w:t>
      </w:r>
    </w:p>
    <w:p>
      <w:pPr>
        <w:numPr>
          <w:ilvl w:val="0"/>
          <w:numId w:val="1"/>
        </w:numPr>
        <w:adjustRightInd w:val="0"/>
        <w:snapToGrid w:val="0"/>
        <w:spacing w:line="580" w:lineRule="exact"/>
        <w:ind w:firstLine="640" w:firstLineChars="200"/>
        <w:outlineLvl w:val="0"/>
        <w:rPr>
          <w:rFonts w:eastAsia="黑体"/>
          <w:sz w:val="32"/>
          <w:szCs w:val="32"/>
        </w:rPr>
      </w:pPr>
      <w:r>
        <w:rPr>
          <w:rFonts w:hint="eastAsia" w:eastAsia="黑体"/>
          <w:sz w:val="32"/>
          <w:szCs w:val="32"/>
        </w:rPr>
        <w:t>社会保险基金预算支出情况</w:t>
      </w:r>
    </w:p>
    <w:p>
      <w:pPr>
        <w:widowControl/>
        <w:adjustRightInd w:val="0"/>
        <w:snapToGrid w:val="0"/>
        <w:spacing w:line="56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无</w:t>
      </w:r>
    </w:p>
    <w:p>
      <w:pPr>
        <w:numPr>
          <w:ilvl w:val="0"/>
          <w:numId w:val="1"/>
        </w:numPr>
        <w:adjustRightInd w:val="0"/>
        <w:snapToGrid w:val="0"/>
        <w:spacing w:line="580" w:lineRule="exact"/>
        <w:ind w:firstLine="640" w:firstLineChars="200"/>
        <w:outlineLvl w:val="0"/>
        <w:rPr>
          <w:rFonts w:eastAsia="黑体"/>
          <w:sz w:val="32"/>
          <w:szCs w:val="32"/>
        </w:rPr>
      </w:pPr>
      <w:r>
        <w:rPr>
          <w:rFonts w:hint="eastAsia" w:eastAsia="黑体"/>
          <w:sz w:val="32"/>
          <w:szCs w:val="32"/>
        </w:rPr>
        <w:t>部门整体支出绩效情况</w:t>
      </w:r>
    </w:p>
    <w:p>
      <w:pPr>
        <w:widowControl/>
        <w:adjustRightInd w:val="0"/>
        <w:snapToGrid w:val="0"/>
        <w:spacing w:line="560" w:lineRule="exac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2024</w:t>
      </w:r>
      <w:r>
        <w:rPr>
          <w:rFonts w:hint="eastAsia" w:ascii="仿宋" w:hAnsi="仿宋" w:eastAsia="仿宋" w:cs="仿宋"/>
          <w:color w:val="000000"/>
          <w:kern w:val="0"/>
          <w:sz w:val="32"/>
          <w:szCs w:val="32"/>
        </w:rPr>
        <w:t>年我单位较好地完成了全年工作任务，取得了较好的社会效益，具体表现如下：</w:t>
      </w:r>
    </w:p>
    <w:p>
      <w:pPr>
        <w:spacing w:line="58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（一）党建引领有新成效</w:t>
      </w:r>
    </w:p>
    <w:p>
      <w:pPr>
        <w:widowControl/>
        <w:adjustRightInd w:val="0"/>
        <w:snapToGrid w:val="0"/>
        <w:spacing w:line="560" w:lineRule="exac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1.</w:t>
      </w:r>
      <w:r>
        <w:rPr>
          <w:rFonts w:hint="eastAsia" w:ascii="仿宋" w:hAnsi="仿宋" w:eastAsia="仿宋" w:cs="仿宋"/>
          <w:color w:val="000000"/>
          <w:kern w:val="0"/>
          <w:sz w:val="32"/>
          <w:szCs w:val="32"/>
        </w:rPr>
        <w:t>强化党建引领，汇聚党群思想。我校始终坚定党管党校、党办党校、为党办校，始终强调教工队伍的党校意识、党员意识、党性意识，充分发挥校委会的引领和示范作用、党组织的动员力、向心力和凝聚力，汇聚全校思想，凝聚全局共识，发挥党建引领作用，推动各项工作落实落地。一是党内政治生活，有序规范，专题研究部署党建工作</w:t>
      </w:r>
      <w:r>
        <w:rPr>
          <w:rFonts w:ascii="仿宋" w:hAnsi="仿宋" w:eastAsia="仿宋" w:cs="仿宋"/>
          <w:color w:val="000000"/>
          <w:kern w:val="0"/>
          <w:sz w:val="32"/>
          <w:szCs w:val="32"/>
        </w:rPr>
        <w:t>6</w:t>
      </w:r>
      <w:r>
        <w:rPr>
          <w:rFonts w:hint="eastAsia" w:ascii="仿宋" w:hAnsi="仿宋" w:eastAsia="仿宋" w:cs="仿宋"/>
          <w:color w:val="000000"/>
          <w:kern w:val="0"/>
          <w:sz w:val="32"/>
          <w:szCs w:val="32"/>
        </w:rPr>
        <w:t>次，制定下发《</w:t>
      </w:r>
      <w:r>
        <w:rPr>
          <w:rFonts w:ascii="仿宋" w:hAnsi="仿宋" w:eastAsia="仿宋" w:cs="仿宋"/>
          <w:color w:val="000000"/>
          <w:kern w:val="0"/>
          <w:sz w:val="32"/>
          <w:szCs w:val="32"/>
        </w:rPr>
        <w:t>2024</w:t>
      </w:r>
      <w:r>
        <w:rPr>
          <w:rFonts w:hint="eastAsia" w:ascii="仿宋" w:hAnsi="仿宋" w:eastAsia="仿宋" w:cs="仿宋"/>
          <w:color w:val="000000"/>
          <w:kern w:val="0"/>
          <w:sz w:val="32"/>
          <w:szCs w:val="32"/>
        </w:rPr>
        <w:t>年党建工作计划》。认真落实一把手讲党课、三会一课、民主评议、双述双评、政治生日等组织生活制度。共召开支委会</w:t>
      </w:r>
      <w:r>
        <w:rPr>
          <w:rFonts w:ascii="仿宋" w:hAnsi="仿宋" w:eastAsia="仿宋" w:cs="仿宋"/>
          <w:color w:val="000000"/>
          <w:kern w:val="0"/>
          <w:sz w:val="32"/>
          <w:szCs w:val="32"/>
        </w:rPr>
        <w:t>12</w:t>
      </w:r>
      <w:r>
        <w:rPr>
          <w:rFonts w:hint="eastAsia" w:ascii="仿宋" w:hAnsi="仿宋" w:eastAsia="仿宋" w:cs="仿宋"/>
          <w:color w:val="000000"/>
          <w:kern w:val="0"/>
          <w:sz w:val="32"/>
          <w:szCs w:val="32"/>
        </w:rPr>
        <w:t>次，党员大会</w:t>
      </w:r>
      <w:r>
        <w:rPr>
          <w:rFonts w:ascii="仿宋" w:hAnsi="仿宋" w:eastAsia="仿宋" w:cs="仿宋"/>
          <w:color w:val="000000"/>
          <w:kern w:val="0"/>
          <w:sz w:val="32"/>
          <w:szCs w:val="32"/>
        </w:rPr>
        <w:t>6</w:t>
      </w:r>
      <w:r>
        <w:rPr>
          <w:rFonts w:hint="eastAsia" w:ascii="仿宋" w:hAnsi="仿宋" w:eastAsia="仿宋" w:cs="仿宋"/>
          <w:color w:val="000000"/>
          <w:kern w:val="0"/>
          <w:sz w:val="32"/>
          <w:szCs w:val="32"/>
        </w:rPr>
        <w:t>次，组织生活会</w:t>
      </w:r>
      <w:r>
        <w:rPr>
          <w:rFonts w:ascii="仿宋" w:hAnsi="仿宋" w:eastAsia="仿宋" w:cs="仿宋"/>
          <w:color w:val="000000"/>
          <w:kern w:val="0"/>
          <w:sz w:val="32"/>
          <w:szCs w:val="32"/>
        </w:rPr>
        <w:t>1</w:t>
      </w:r>
      <w:r>
        <w:rPr>
          <w:rFonts w:hint="eastAsia" w:ascii="仿宋" w:hAnsi="仿宋" w:eastAsia="仿宋" w:cs="仿宋"/>
          <w:color w:val="000000"/>
          <w:kern w:val="0"/>
          <w:sz w:val="32"/>
          <w:szCs w:val="32"/>
        </w:rPr>
        <w:t>次，主题党日活动</w:t>
      </w:r>
      <w:r>
        <w:rPr>
          <w:rFonts w:ascii="仿宋" w:hAnsi="仿宋" w:eastAsia="仿宋" w:cs="仿宋"/>
          <w:color w:val="000000"/>
          <w:kern w:val="0"/>
          <w:sz w:val="32"/>
          <w:szCs w:val="32"/>
        </w:rPr>
        <w:t>12</w:t>
      </w:r>
      <w:r>
        <w:rPr>
          <w:rFonts w:hint="eastAsia" w:ascii="仿宋" w:hAnsi="仿宋" w:eastAsia="仿宋" w:cs="仿宋"/>
          <w:color w:val="000000"/>
          <w:kern w:val="0"/>
          <w:sz w:val="32"/>
          <w:szCs w:val="32"/>
        </w:rPr>
        <w:t>次，支部书记讲党课</w:t>
      </w:r>
      <w:r>
        <w:rPr>
          <w:rFonts w:ascii="仿宋" w:hAnsi="仿宋" w:eastAsia="仿宋" w:cs="仿宋"/>
          <w:color w:val="000000"/>
          <w:kern w:val="0"/>
          <w:sz w:val="32"/>
          <w:szCs w:val="32"/>
        </w:rPr>
        <w:t>3</w:t>
      </w:r>
      <w:r>
        <w:rPr>
          <w:rFonts w:hint="eastAsia" w:ascii="仿宋" w:hAnsi="仿宋" w:eastAsia="仿宋" w:cs="仿宋"/>
          <w:color w:val="000000"/>
          <w:kern w:val="0"/>
          <w:sz w:val="32"/>
          <w:szCs w:val="32"/>
        </w:rPr>
        <w:t>堂。二是党员主题活动，彰显党性。认真落实“最是乡音解乡愁”大走访活动，把基层问题找出来，把群众困难找出来，把解决方法找出来，在大堡乡乔林村找出问题</w:t>
      </w:r>
      <w:r>
        <w:rPr>
          <w:rFonts w:ascii="仿宋" w:hAnsi="仿宋" w:eastAsia="仿宋" w:cs="仿宋"/>
          <w:color w:val="000000"/>
          <w:kern w:val="0"/>
          <w:sz w:val="32"/>
          <w:szCs w:val="32"/>
        </w:rPr>
        <w:t>17</w:t>
      </w:r>
      <w:r>
        <w:rPr>
          <w:rFonts w:hint="eastAsia" w:ascii="仿宋" w:hAnsi="仿宋" w:eastAsia="仿宋" w:cs="仿宋"/>
          <w:color w:val="000000"/>
          <w:kern w:val="0"/>
          <w:sz w:val="32"/>
          <w:szCs w:val="32"/>
        </w:rPr>
        <w:t>个，交办相关部门问题</w:t>
      </w:r>
      <w:r>
        <w:rPr>
          <w:rFonts w:ascii="仿宋" w:hAnsi="仿宋" w:eastAsia="仿宋" w:cs="仿宋"/>
          <w:color w:val="000000"/>
          <w:kern w:val="0"/>
          <w:sz w:val="32"/>
          <w:szCs w:val="32"/>
        </w:rPr>
        <w:t>12</w:t>
      </w:r>
      <w:r>
        <w:rPr>
          <w:rFonts w:hint="eastAsia" w:ascii="仿宋" w:hAnsi="仿宋" w:eastAsia="仿宋" w:cs="仿宋"/>
          <w:color w:val="000000"/>
          <w:kern w:val="0"/>
          <w:sz w:val="32"/>
          <w:szCs w:val="32"/>
        </w:rPr>
        <w:t>个，现场解决问题</w:t>
      </w:r>
      <w:r>
        <w:rPr>
          <w:rFonts w:ascii="仿宋" w:hAnsi="仿宋" w:eastAsia="仿宋" w:cs="仿宋"/>
          <w:color w:val="000000"/>
          <w:kern w:val="0"/>
          <w:sz w:val="32"/>
          <w:szCs w:val="32"/>
        </w:rPr>
        <w:t>3</w:t>
      </w:r>
      <w:r>
        <w:rPr>
          <w:rFonts w:hint="eastAsia" w:ascii="仿宋" w:hAnsi="仿宋" w:eastAsia="仿宋" w:cs="仿宋"/>
          <w:color w:val="000000"/>
          <w:kern w:val="0"/>
          <w:sz w:val="32"/>
          <w:szCs w:val="32"/>
        </w:rPr>
        <w:t>个，协助村委限期解决问题</w:t>
      </w:r>
      <w:r>
        <w:rPr>
          <w:rFonts w:ascii="仿宋" w:hAnsi="仿宋" w:eastAsia="仿宋" w:cs="仿宋"/>
          <w:color w:val="000000"/>
          <w:kern w:val="0"/>
          <w:sz w:val="32"/>
          <w:szCs w:val="32"/>
        </w:rPr>
        <w:t>2</w:t>
      </w:r>
      <w:r>
        <w:rPr>
          <w:rFonts w:hint="eastAsia" w:ascii="仿宋" w:hAnsi="仿宋" w:eastAsia="仿宋" w:cs="仿宋"/>
          <w:color w:val="000000"/>
          <w:kern w:val="0"/>
          <w:sz w:val="32"/>
          <w:szCs w:val="32"/>
        </w:rPr>
        <w:t>个，切实为老百姓的急难愁盼解忧排难。把支部主题党日活动与乡村振兴工作相融合，与中青班、科干班培训相结合，组织全体党员以开展主题党日活动的形式，实地调研，开展主题党日活动，为乡村治理和乡村振兴工作，取得第一手资料。三是先锋模范作用，充分发挥。积极践行社会主义核心价值观。组织全体党员积极开展衡阳群众志愿服务和新时代文明实践活动，营造全社会友爱、互助氛围。今年，共开展无偿献血</w:t>
      </w:r>
      <w:r>
        <w:rPr>
          <w:rFonts w:ascii="仿宋" w:hAnsi="仿宋" w:eastAsia="仿宋" w:cs="仿宋"/>
          <w:color w:val="000000"/>
          <w:kern w:val="0"/>
          <w:sz w:val="32"/>
          <w:szCs w:val="32"/>
        </w:rPr>
        <w:t>3</w:t>
      </w:r>
      <w:r>
        <w:rPr>
          <w:rFonts w:hint="eastAsia" w:ascii="仿宋" w:hAnsi="仿宋" w:eastAsia="仿宋" w:cs="仿宋"/>
          <w:color w:val="000000"/>
          <w:kern w:val="0"/>
          <w:sz w:val="32"/>
          <w:szCs w:val="32"/>
        </w:rPr>
        <w:t>人次；开展日常文明劝导活动</w:t>
      </w:r>
      <w:r>
        <w:rPr>
          <w:rFonts w:ascii="仿宋" w:hAnsi="仿宋" w:eastAsia="仿宋" w:cs="仿宋"/>
          <w:color w:val="000000"/>
          <w:kern w:val="0"/>
          <w:sz w:val="32"/>
          <w:szCs w:val="32"/>
        </w:rPr>
        <w:t>228</w:t>
      </w:r>
      <w:r>
        <w:rPr>
          <w:rFonts w:hint="eastAsia" w:ascii="仿宋" w:hAnsi="仿宋" w:eastAsia="仿宋" w:cs="仿宋"/>
          <w:color w:val="000000"/>
          <w:kern w:val="0"/>
          <w:sz w:val="32"/>
          <w:szCs w:val="32"/>
        </w:rPr>
        <w:t>次，参与人数</w:t>
      </w:r>
      <w:r>
        <w:rPr>
          <w:rFonts w:ascii="仿宋" w:hAnsi="仿宋" w:eastAsia="仿宋" w:cs="仿宋"/>
          <w:color w:val="000000"/>
          <w:kern w:val="0"/>
          <w:sz w:val="32"/>
          <w:szCs w:val="32"/>
        </w:rPr>
        <w:t>602</w:t>
      </w:r>
      <w:r>
        <w:rPr>
          <w:rFonts w:hint="eastAsia" w:ascii="仿宋" w:hAnsi="仿宋" w:eastAsia="仿宋" w:cs="仿宋"/>
          <w:color w:val="000000"/>
          <w:kern w:val="0"/>
          <w:sz w:val="32"/>
          <w:szCs w:val="32"/>
        </w:rPr>
        <w:t>人次；开展周末全民卫生日活动</w:t>
      </w:r>
      <w:r>
        <w:rPr>
          <w:rFonts w:ascii="仿宋" w:hAnsi="仿宋" w:eastAsia="仿宋" w:cs="仿宋"/>
          <w:color w:val="000000"/>
          <w:kern w:val="0"/>
          <w:sz w:val="32"/>
          <w:szCs w:val="32"/>
        </w:rPr>
        <w:t>38</w:t>
      </w:r>
      <w:r>
        <w:rPr>
          <w:rFonts w:hint="eastAsia" w:ascii="仿宋" w:hAnsi="仿宋" w:eastAsia="仿宋" w:cs="仿宋"/>
          <w:color w:val="000000"/>
          <w:kern w:val="0"/>
          <w:sz w:val="32"/>
          <w:szCs w:val="32"/>
        </w:rPr>
        <w:t>次，参与人数</w:t>
      </w:r>
      <w:r>
        <w:rPr>
          <w:rFonts w:ascii="仿宋" w:hAnsi="仿宋" w:eastAsia="仿宋" w:cs="仿宋"/>
          <w:color w:val="000000"/>
          <w:kern w:val="0"/>
          <w:sz w:val="32"/>
          <w:szCs w:val="32"/>
        </w:rPr>
        <w:t>570</w:t>
      </w:r>
      <w:r>
        <w:rPr>
          <w:rFonts w:hint="eastAsia" w:ascii="仿宋" w:hAnsi="仿宋" w:eastAsia="仿宋" w:cs="仿宋"/>
          <w:color w:val="000000"/>
          <w:kern w:val="0"/>
          <w:sz w:val="32"/>
          <w:szCs w:val="32"/>
        </w:rPr>
        <w:t>人次。</w:t>
      </w:r>
      <w:r>
        <w:rPr>
          <w:rFonts w:ascii="仿宋" w:hAnsi="仿宋" w:eastAsia="仿宋" w:cs="仿宋"/>
          <w:color w:val="000000"/>
          <w:kern w:val="0"/>
          <w:sz w:val="32"/>
          <w:szCs w:val="32"/>
        </w:rPr>
        <w:t>2024</w:t>
      </w:r>
      <w:r>
        <w:rPr>
          <w:rFonts w:hint="eastAsia" w:ascii="仿宋" w:hAnsi="仿宋" w:eastAsia="仿宋" w:cs="仿宋"/>
          <w:color w:val="000000"/>
          <w:kern w:val="0"/>
          <w:sz w:val="32"/>
          <w:szCs w:val="32"/>
        </w:rPr>
        <w:t>年获评“常宁市先进基层党组织”荣誉称号。</w:t>
      </w:r>
    </w:p>
    <w:p>
      <w:pPr>
        <w:widowControl/>
        <w:adjustRightInd w:val="0"/>
        <w:snapToGrid w:val="0"/>
        <w:spacing w:line="560" w:lineRule="exac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2.</w:t>
      </w:r>
      <w:r>
        <w:rPr>
          <w:rFonts w:hint="eastAsia" w:ascii="仿宋" w:hAnsi="仿宋" w:eastAsia="仿宋" w:cs="仿宋"/>
          <w:color w:val="000000"/>
          <w:kern w:val="0"/>
          <w:sz w:val="32"/>
          <w:szCs w:val="32"/>
        </w:rPr>
        <w:t>深化理论武装，贯彻新时代精神。一是完成理论中心组学习规定动作，校委会全年组织了</w:t>
      </w:r>
      <w:r>
        <w:rPr>
          <w:rFonts w:ascii="仿宋" w:hAnsi="仿宋" w:eastAsia="仿宋" w:cs="仿宋"/>
          <w:color w:val="000000"/>
          <w:kern w:val="0"/>
          <w:sz w:val="32"/>
          <w:szCs w:val="32"/>
        </w:rPr>
        <w:t>12</w:t>
      </w:r>
      <w:r>
        <w:rPr>
          <w:rFonts w:hint="eastAsia" w:ascii="仿宋" w:hAnsi="仿宋" w:eastAsia="仿宋" w:cs="仿宋"/>
          <w:color w:val="000000"/>
          <w:kern w:val="0"/>
          <w:sz w:val="32"/>
          <w:szCs w:val="32"/>
        </w:rPr>
        <w:t>次</w:t>
      </w:r>
      <w:r>
        <w:rPr>
          <w:rFonts w:ascii="仿宋" w:hAnsi="仿宋" w:eastAsia="仿宋" w:cs="仿宋"/>
          <w:color w:val="000000"/>
          <w:kern w:val="0"/>
          <w:sz w:val="32"/>
          <w:szCs w:val="32"/>
        </w:rPr>
        <w:t>20</w:t>
      </w:r>
      <w:r>
        <w:rPr>
          <w:rFonts w:hint="eastAsia" w:ascii="仿宋" w:hAnsi="仿宋" w:eastAsia="仿宋" w:cs="仿宋"/>
          <w:color w:val="000000"/>
          <w:kern w:val="0"/>
          <w:sz w:val="32"/>
          <w:szCs w:val="32"/>
        </w:rPr>
        <w:t>个专题校委理论中心组集中学习，全覆盖学习了市委宣传部、市委组织部联合下发的《常宁市科级以上党委（党组）理论中心组专题学习重点内容安排》文件任务。按照专题授课、研讨交流、旁听点评、总结表态四个规定动作，促进党的理论及时消化吸收及实践运用。二是坚持第一议题学习制度，在校委会、理论中心组学习会议中，坚持第一议题学习制度，组织了全体教职员工及时学习贯彻习近平总书记系列重要讲话精神、党的二十届三中全会精神、党的二十大精神、习近平考察全国各地的重要讲话精神等。把党的最新理论以最快速度融入到党员干部思想，深入党员干部骨髓。三是落实新课析出机制。围绕习新思想、党的二十届三中全会精神，以萧石月、彭明治、耿彪红色思想原形，打造</w:t>
      </w:r>
      <w:r>
        <w:rPr>
          <w:rFonts w:ascii="仿宋" w:hAnsi="仿宋" w:eastAsia="仿宋" w:cs="仿宋"/>
          <w:color w:val="000000"/>
          <w:kern w:val="0"/>
          <w:sz w:val="32"/>
          <w:szCs w:val="32"/>
        </w:rPr>
        <w:t>3</w:t>
      </w:r>
      <w:r>
        <w:rPr>
          <w:rFonts w:hint="eastAsia" w:ascii="仿宋" w:hAnsi="仿宋" w:eastAsia="仿宋" w:cs="仿宋"/>
          <w:color w:val="000000"/>
          <w:kern w:val="0"/>
          <w:sz w:val="32"/>
          <w:szCs w:val="32"/>
        </w:rPr>
        <w:t>个新课题，通过主体班课题试讲、评议，析出</w:t>
      </w:r>
      <w:r>
        <w:rPr>
          <w:rFonts w:ascii="仿宋" w:hAnsi="仿宋" w:eastAsia="仿宋" w:cs="仿宋"/>
          <w:color w:val="000000"/>
          <w:kern w:val="0"/>
          <w:sz w:val="32"/>
          <w:szCs w:val="32"/>
        </w:rPr>
        <w:t>3</w:t>
      </w:r>
      <w:r>
        <w:rPr>
          <w:rFonts w:hint="eastAsia" w:ascii="仿宋" w:hAnsi="仿宋" w:eastAsia="仿宋" w:cs="仿宋"/>
          <w:color w:val="000000"/>
          <w:kern w:val="0"/>
          <w:sz w:val="32"/>
          <w:szCs w:val="32"/>
        </w:rPr>
        <w:t>堂现场教学课。在中青班、科干班上为学员注入新的党性修养和红色精神。</w:t>
      </w:r>
    </w:p>
    <w:p>
      <w:pPr>
        <w:widowControl/>
        <w:adjustRightInd w:val="0"/>
        <w:snapToGrid w:val="0"/>
        <w:spacing w:line="560" w:lineRule="exac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3.</w:t>
      </w:r>
      <w:r>
        <w:rPr>
          <w:rFonts w:hint="eastAsia" w:ascii="仿宋" w:hAnsi="仿宋" w:eastAsia="仿宋" w:cs="仿宋"/>
          <w:color w:val="000000"/>
          <w:kern w:val="0"/>
          <w:sz w:val="32"/>
          <w:szCs w:val="32"/>
        </w:rPr>
        <w:t>压实主体责任，维护落实意识形态安全。成立了以常务副校长为组长的意识形态领导小组，明确了主要负责人的“第一责任人”、分管领导的“直接责任人”、其他领导“一岗双责”责任，确保意识形态四个纳入工作落到实处，牢牢把握意识形态的主动权、话语权、领导权。一是压实意识形态责任，专题研究意识形态工作会议</w:t>
      </w:r>
      <w:r>
        <w:rPr>
          <w:rFonts w:ascii="仿宋" w:hAnsi="仿宋" w:eastAsia="仿宋" w:cs="仿宋"/>
          <w:color w:val="000000"/>
          <w:kern w:val="0"/>
          <w:sz w:val="32"/>
          <w:szCs w:val="32"/>
        </w:rPr>
        <w:t>2</w:t>
      </w:r>
      <w:r>
        <w:rPr>
          <w:rFonts w:hint="eastAsia" w:ascii="仿宋" w:hAnsi="仿宋" w:eastAsia="仿宋" w:cs="仿宋"/>
          <w:color w:val="000000"/>
          <w:kern w:val="0"/>
          <w:sz w:val="32"/>
          <w:szCs w:val="32"/>
        </w:rPr>
        <w:t>次、意识形态分析研判会</w:t>
      </w:r>
      <w:r>
        <w:rPr>
          <w:rFonts w:ascii="仿宋" w:hAnsi="仿宋" w:eastAsia="仿宋" w:cs="仿宋"/>
          <w:color w:val="000000"/>
          <w:kern w:val="0"/>
          <w:sz w:val="32"/>
          <w:szCs w:val="32"/>
        </w:rPr>
        <w:t>2</w:t>
      </w:r>
      <w:r>
        <w:rPr>
          <w:rFonts w:hint="eastAsia" w:ascii="仿宋" w:hAnsi="仿宋" w:eastAsia="仿宋" w:cs="仿宋"/>
          <w:color w:val="000000"/>
          <w:kern w:val="0"/>
          <w:sz w:val="32"/>
          <w:szCs w:val="32"/>
        </w:rPr>
        <w:t>次，意识形态专题学习</w:t>
      </w:r>
      <w:r>
        <w:rPr>
          <w:rFonts w:ascii="仿宋" w:hAnsi="仿宋" w:eastAsia="仿宋" w:cs="仿宋"/>
          <w:color w:val="000000"/>
          <w:kern w:val="0"/>
          <w:sz w:val="32"/>
          <w:szCs w:val="32"/>
        </w:rPr>
        <w:t>1</w:t>
      </w:r>
      <w:r>
        <w:rPr>
          <w:rFonts w:hint="eastAsia" w:ascii="仿宋" w:hAnsi="仿宋" w:eastAsia="仿宋" w:cs="仿宋"/>
          <w:color w:val="000000"/>
          <w:kern w:val="0"/>
          <w:sz w:val="32"/>
          <w:szCs w:val="32"/>
        </w:rPr>
        <w:t>次。着力发挥党校“阵地”“熔炉”“风向标”的独特优势，把意识形态专题纳入主体班教学内容、纳入理论中心组学习内容。二是严格落实“三审”制。严格落实新闻信息发稿、外出宣讲三审制，把好舆论宣传关，把好舆情处置关。按照教研室审查备课、分管负责人把关意识形态方向，主要负责人批准同意的程序，严格教师外出授课审批制，切实把好教学内容关、授课门槛关，同时严格落实授课反馈机制。</w:t>
      </w:r>
    </w:p>
    <w:p>
      <w:pPr>
        <w:spacing w:line="58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（二）新质发展有新业绩</w:t>
      </w:r>
    </w:p>
    <w:p>
      <w:pPr>
        <w:widowControl/>
        <w:adjustRightInd w:val="0"/>
        <w:snapToGrid w:val="0"/>
        <w:spacing w:line="560" w:lineRule="exac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1.</w:t>
      </w:r>
      <w:r>
        <w:rPr>
          <w:rFonts w:hint="eastAsia" w:ascii="仿宋" w:hAnsi="仿宋" w:eastAsia="仿宋" w:cs="仿宋"/>
          <w:color w:val="000000"/>
          <w:kern w:val="0"/>
          <w:sz w:val="32"/>
          <w:szCs w:val="32"/>
        </w:rPr>
        <w:t>明确基本培训任务。全面落实习总书记关于党校工作的重要论述、中央党校校长（院长）李希和省委李殿勋副书记的关于基本培训的指示精神，坚持需求牵引，按照基本培训的“应训尽训、全面覆盖、稳步推进”的原则，制定了常宁市《基本培训方案》，结合本地工作实际，确定年度基本培训班次为乡科级副职</w:t>
      </w:r>
      <w:r>
        <w:rPr>
          <w:rFonts w:ascii="仿宋" w:hAnsi="仿宋" w:eastAsia="仿宋" w:cs="仿宋"/>
          <w:color w:val="000000"/>
          <w:kern w:val="0"/>
          <w:sz w:val="32"/>
          <w:szCs w:val="32"/>
        </w:rPr>
        <w:t>240</w:t>
      </w:r>
      <w:r>
        <w:rPr>
          <w:rFonts w:hint="eastAsia" w:ascii="仿宋" w:hAnsi="仿宋" w:eastAsia="仿宋" w:cs="仿宋"/>
          <w:color w:val="000000"/>
          <w:kern w:val="0"/>
          <w:sz w:val="32"/>
          <w:szCs w:val="32"/>
        </w:rPr>
        <w:t>人、优秀中青年干部</w:t>
      </w:r>
      <w:r>
        <w:rPr>
          <w:rFonts w:ascii="仿宋" w:hAnsi="仿宋" w:eastAsia="仿宋" w:cs="仿宋"/>
          <w:color w:val="000000"/>
          <w:kern w:val="0"/>
          <w:sz w:val="32"/>
          <w:szCs w:val="32"/>
        </w:rPr>
        <w:t>60</w:t>
      </w:r>
      <w:r>
        <w:rPr>
          <w:rFonts w:hint="eastAsia" w:ascii="仿宋" w:hAnsi="仿宋" w:eastAsia="仿宋" w:cs="仿宋"/>
          <w:color w:val="000000"/>
          <w:kern w:val="0"/>
          <w:sz w:val="32"/>
          <w:szCs w:val="32"/>
        </w:rPr>
        <w:t>人、新录用公务员和选调生</w:t>
      </w:r>
      <w:r>
        <w:rPr>
          <w:rFonts w:ascii="仿宋" w:hAnsi="仿宋" w:eastAsia="仿宋" w:cs="仿宋"/>
          <w:color w:val="000000"/>
          <w:kern w:val="0"/>
          <w:sz w:val="32"/>
          <w:szCs w:val="32"/>
        </w:rPr>
        <w:t>130</w:t>
      </w:r>
      <w:r>
        <w:rPr>
          <w:rFonts w:hint="eastAsia" w:ascii="仿宋" w:hAnsi="仿宋" w:eastAsia="仿宋" w:cs="仿宋"/>
          <w:color w:val="000000"/>
          <w:kern w:val="0"/>
          <w:sz w:val="32"/>
          <w:szCs w:val="32"/>
        </w:rPr>
        <w:t>人、村（社区）党组织书记</w:t>
      </w:r>
      <w:r>
        <w:rPr>
          <w:rFonts w:ascii="仿宋" w:hAnsi="仿宋" w:eastAsia="仿宋" w:cs="仿宋"/>
          <w:color w:val="000000"/>
          <w:kern w:val="0"/>
          <w:sz w:val="32"/>
          <w:szCs w:val="32"/>
        </w:rPr>
        <w:t>435</w:t>
      </w:r>
      <w:r>
        <w:rPr>
          <w:rFonts w:hint="eastAsia" w:ascii="仿宋" w:hAnsi="仿宋" w:eastAsia="仿宋" w:cs="仿宋"/>
          <w:color w:val="000000"/>
          <w:kern w:val="0"/>
          <w:sz w:val="32"/>
          <w:szCs w:val="32"/>
        </w:rPr>
        <w:t>人、乡村振兴驻村干部</w:t>
      </w:r>
      <w:r>
        <w:rPr>
          <w:rFonts w:ascii="仿宋" w:hAnsi="仿宋" w:eastAsia="仿宋" w:cs="仿宋"/>
          <w:color w:val="000000"/>
          <w:kern w:val="0"/>
          <w:sz w:val="32"/>
          <w:szCs w:val="32"/>
        </w:rPr>
        <w:t>200</w:t>
      </w:r>
      <w:r>
        <w:rPr>
          <w:rFonts w:hint="eastAsia" w:ascii="仿宋" w:hAnsi="仿宋" w:eastAsia="仿宋" w:cs="仿宋"/>
          <w:color w:val="000000"/>
          <w:kern w:val="0"/>
          <w:sz w:val="32"/>
          <w:szCs w:val="32"/>
        </w:rPr>
        <w:t>人共</w:t>
      </w:r>
      <w:r>
        <w:rPr>
          <w:rFonts w:ascii="仿宋" w:hAnsi="仿宋" w:eastAsia="仿宋" w:cs="仿宋"/>
          <w:color w:val="000000"/>
          <w:kern w:val="0"/>
          <w:sz w:val="32"/>
          <w:szCs w:val="32"/>
        </w:rPr>
        <w:t>11</w:t>
      </w:r>
      <w:r>
        <w:rPr>
          <w:rFonts w:hint="eastAsia" w:ascii="仿宋" w:hAnsi="仿宋" w:eastAsia="仿宋" w:cs="仿宋"/>
          <w:color w:val="000000"/>
          <w:kern w:val="0"/>
          <w:sz w:val="32"/>
          <w:szCs w:val="32"/>
        </w:rPr>
        <w:t>个进修班。年度培训规模约</w:t>
      </w:r>
      <w:r>
        <w:rPr>
          <w:rFonts w:ascii="仿宋" w:hAnsi="仿宋" w:eastAsia="仿宋" w:cs="仿宋"/>
          <w:color w:val="000000"/>
          <w:kern w:val="0"/>
          <w:sz w:val="32"/>
          <w:szCs w:val="32"/>
        </w:rPr>
        <w:t>1100</w:t>
      </w:r>
      <w:r>
        <w:rPr>
          <w:rFonts w:hint="eastAsia" w:ascii="仿宋" w:hAnsi="仿宋" w:eastAsia="仿宋" w:cs="仿宋"/>
          <w:color w:val="000000"/>
          <w:kern w:val="0"/>
          <w:sz w:val="32"/>
          <w:szCs w:val="32"/>
        </w:rPr>
        <w:t>人，比去年增加</w:t>
      </w:r>
      <w:r>
        <w:rPr>
          <w:rFonts w:ascii="仿宋" w:hAnsi="仿宋" w:eastAsia="仿宋" w:cs="仿宋"/>
          <w:color w:val="000000"/>
          <w:kern w:val="0"/>
          <w:sz w:val="32"/>
          <w:szCs w:val="32"/>
        </w:rPr>
        <w:t>945</w:t>
      </w:r>
      <w:r>
        <w:rPr>
          <w:rFonts w:hint="eastAsia" w:ascii="仿宋" w:hAnsi="仿宋" w:eastAsia="仿宋" w:cs="仿宋"/>
          <w:color w:val="000000"/>
          <w:kern w:val="0"/>
          <w:sz w:val="32"/>
          <w:szCs w:val="32"/>
        </w:rPr>
        <w:t>人。以此形成了全市干部教育培训新格局，重塑了党校干部教育培训的主渠道、主阵地。</w:t>
      </w:r>
      <w:r>
        <w:rPr>
          <w:rFonts w:ascii="仿宋" w:hAnsi="仿宋" w:eastAsia="仿宋" w:cs="仿宋"/>
          <w:color w:val="000000"/>
          <w:kern w:val="0"/>
          <w:sz w:val="32"/>
          <w:szCs w:val="32"/>
        </w:rPr>
        <w:t xml:space="preserve">    </w:t>
      </w:r>
    </w:p>
    <w:p>
      <w:pPr>
        <w:widowControl/>
        <w:adjustRightInd w:val="0"/>
        <w:snapToGrid w:val="0"/>
        <w:spacing w:line="560" w:lineRule="exac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2.</w:t>
      </w:r>
      <w:r>
        <w:rPr>
          <w:rFonts w:hint="eastAsia" w:ascii="仿宋" w:hAnsi="仿宋" w:eastAsia="仿宋" w:cs="仿宋"/>
          <w:color w:val="000000"/>
          <w:kern w:val="0"/>
          <w:sz w:val="32"/>
          <w:szCs w:val="32"/>
        </w:rPr>
        <w:t>提升教学新质。全年举办了一期科级干部培训班，培训人数</w:t>
      </w:r>
      <w:r>
        <w:rPr>
          <w:rFonts w:ascii="仿宋" w:hAnsi="仿宋" w:eastAsia="仿宋" w:cs="仿宋"/>
          <w:color w:val="000000"/>
          <w:kern w:val="0"/>
          <w:sz w:val="32"/>
          <w:szCs w:val="32"/>
        </w:rPr>
        <w:t>52</w:t>
      </w:r>
      <w:r>
        <w:rPr>
          <w:rFonts w:hint="eastAsia" w:ascii="仿宋" w:hAnsi="仿宋" w:eastAsia="仿宋" w:cs="仿宋"/>
          <w:color w:val="000000"/>
          <w:kern w:val="0"/>
          <w:sz w:val="32"/>
          <w:szCs w:val="32"/>
        </w:rPr>
        <w:t>人。一期中青年干部培训班，培训人数</w:t>
      </w:r>
      <w:r>
        <w:rPr>
          <w:rFonts w:ascii="仿宋" w:hAnsi="仿宋" w:eastAsia="仿宋" w:cs="仿宋"/>
          <w:color w:val="000000"/>
          <w:kern w:val="0"/>
          <w:sz w:val="32"/>
          <w:szCs w:val="32"/>
        </w:rPr>
        <w:t>63</w:t>
      </w:r>
      <w:r>
        <w:rPr>
          <w:rFonts w:hint="eastAsia" w:ascii="仿宋" w:hAnsi="仿宋" w:eastAsia="仿宋" w:cs="仿宋"/>
          <w:color w:val="000000"/>
          <w:kern w:val="0"/>
          <w:sz w:val="32"/>
          <w:szCs w:val="32"/>
        </w:rPr>
        <w:t>人。市委书记罗卫华莅临课堂，为中青班学员讲授开班第一课，邀请了</w:t>
      </w:r>
      <w:r>
        <w:rPr>
          <w:rFonts w:ascii="仿宋" w:hAnsi="仿宋" w:eastAsia="仿宋" w:cs="仿宋"/>
          <w:color w:val="000000"/>
          <w:kern w:val="0"/>
          <w:sz w:val="32"/>
          <w:szCs w:val="32"/>
        </w:rPr>
        <w:t>5</w:t>
      </w:r>
      <w:r>
        <w:rPr>
          <w:rFonts w:hint="eastAsia" w:ascii="仿宋" w:hAnsi="仿宋" w:eastAsia="仿宋" w:cs="仿宋"/>
          <w:color w:val="000000"/>
          <w:kern w:val="0"/>
          <w:sz w:val="32"/>
          <w:szCs w:val="32"/>
        </w:rPr>
        <w:t>位市级领导、</w:t>
      </w:r>
      <w:r>
        <w:rPr>
          <w:rFonts w:ascii="仿宋" w:hAnsi="仿宋" w:eastAsia="仿宋" w:cs="仿宋"/>
          <w:color w:val="000000"/>
          <w:kern w:val="0"/>
          <w:sz w:val="32"/>
          <w:szCs w:val="32"/>
        </w:rPr>
        <w:t>9</w:t>
      </w:r>
      <w:r>
        <w:rPr>
          <w:rFonts w:hint="eastAsia" w:ascii="仿宋" w:hAnsi="仿宋" w:eastAsia="仿宋" w:cs="仿宋"/>
          <w:color w:val="000000"/>
          <w:kern w:val="0"/>
          <w:sz w:val="32"/>
          <w:szCs w:val="32"/>
        </w:rPr>
        <w:t>个单位的负责同志到校授课，授课的专家领导人数比去年明显提高。并组织学员近几年来第一次赴省外研学，在安徽省颍泉区委党校、广西省桂林市临桂区委党校开展异地教学，两地的红色资源、自然资源优势、乡村振兴特点，得到学员的深刻认识和深刻感悟，使学员进一步锤炼党性，开阔眼界、净化思想。</w:t>
      </w:r>
    </w:p>
    <w:p>
      <w:pPr>
        <w:widowControl/>
        <w:adjustRightInd w:val="0"/>
        <w:snapToGrid w:val="0"/>
        <w:spacing w:line="560" w:lineRule="exac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3.</w:t>
      </w:r>
      <w:r>
        <w:rPr>
          <w:rFonts w:hint="eastAsia" w:ascii="仿宋" w:hAnsi="仿宋" w:eastAsia="仿宋" w:cs="仿宋"/>
          <w:color w:val="000000"/>
          <w:kern w:val="0"/>
          <w:sz w:val="32"/>
          <w:szCs w:val="32"/>
        </w:rPr>
        <w:t>打造科研高地。积极引导科研人员做好理论研究、理论阐释工作，抓好师资队伍增强知识储备、优化知识结构、加快知识更新的工作。组织全体科研人员参加了省、市党校共开通的</w:t>
      </w:r>
      <w:r>
        <w:rPr>
          <w:rFonts w:ascii="仿宋" w:hAnsi="仿宋" w:eastAsia="仿宋" w:cs="仿宋"/>
          <w:color w:val="000000"/>
          <w:kern w:val="0"/>
          <w:sz w:val="32"/>
          <w:szCs w:val="32"/>
        </w:rPr>
        <w:t>121</w:t>
      </w:r>
      <w:r>
        <w:rPr>
          <w:rFonts w:hint="eastAsia" w:ascii="仿宋" w:hAnsi="仿宋" w:eastAsia="仿宋" w:cs="仿宋"/>
          <w:color w:val="000000"/>
          <w:kern w:val="0"/>
          <w:sz w:val="32"/>
          <w:szCs w:val="32"/>
        </w:rPr>
        <w:t>堂共享课，</w:t>
      </w:r>
      <w:r>
        <w:rPr>
          <w:rFonts w:ascii="仿宋" w:hAnsi="仿宋" w:eastAsia="仿宋" w:cs="仿宋"/>
          <w:color w:val="000000"/>
          <w:kern w:val="0"/>
          <w:sz w:val="32"/>
          <w:szCs w:val="32"/>
        </w:rPr>
        <w:t>15</w:t>
      </w:r>
      <w:r>
        <w:rPr>
          <w:rFonts w:hint="eastAsia" w:ascii="仿宋" w:hAnsi="仿宋" w:eastAsia="仿宋" w:cs="仿宋"/>
          <w:color w:val="000000"/>
          <w:kern w:val="0"/>
          <w:sz w:val="32"/>
          <w:szCs w:val="32"/>
        </w:rPr>
        <w:t>堂“云备课”，不断丰富科研人员理论素养和阐释宣讲能力，努力做到学术研究“见底”、科研成果“冒尖”，政策建议“足金”。省级课题《水口山红色工矿资源的旅游开发》、衡阳市级课题《加强新时代离退休干部党建，践行全面从严治党》成功结项；理论文章衡阳市级获得</w:t>
      </w:r>
      <w:r>
        <w:rPr>
          <w:rFonts w:ascii="仿宋" w:hAnsi="仿宋" w:eastAsia="仿宋" w:cs="仿宋"/>
          <w:color w:val="000000"/>
          <w:kern w:val="0"/>
          <w:sz w:val="32"/>
          <w:szCs w:val="32"/>
        </w:rPr>
        <w:t>10</w:t>
      </w:r>
      <w:r>
        <w:rPr>
          <w:rFonts w:hint="eastAsia" w:ascii="仿宋" w:hAnsi="仿宋" w:eastAsia="仿宋" w:cs="仿宋"/>
          <w:color w:val="000000"/>
          <w:kern w:val="0"/>
          <w:sz w:val="32"/>
          <w:szCs w:val="32"/>
        </w:rPr>
        <w:t>篇、省级</w:t>
      </w:r>
      <w:r>
        <w:rPr>
          <w:rFonts w:ascii="仿宋" w:hAnsi="仿宋" w:eastAsia="仿宋" w:cs="仿宋"/>
          <w:color w:val="000000"/>
          <w:kern w:val="0"/>
          <w:sz w:val="32"/>
          <w:szCs w:val="32"/>
        </w:rPr>
        <w:t>32</w:t>
      </w:r>
      <w:r>
        <w:rPr>
          <w:rFonts w:hint="eastAsia" w:ascii="仿宋" w:hAnsi="仿宋" w:eastAsia="仿宋" w:cs="仿宋"/>
          <w:color w:val="000000"/>
          <w:kern w:val="0"/>
          <w:sz w:val="32"/>
          <w:szCs w:val="32"/>
        </w:rPr>
        <w:t>篇，教师获奖率达</w:t>
      </w:r>
      <w:r>
        <w:rPr>
          <w:rFonts w:ascii="仿宋" w:hAnsi="仿宋" w:eastAsia="仿宋" w:cs="仿宋"/>
          <w:color w:val="000000"/>
          <w:kern w:val="0"/>
          <w:sz w:val="32"/>
          <w:szCs w:val="32"/>
        </w:rPr>
        <w:t>100%</w:t>
      </w:r>
      <w:r>
        <w:rPr>
          <w:rFonts w:hint="eastAsia" w:ascii="仿宋" w:hAnsi="仿宋" w:eastAsia="仿宋" w:cs="仿宋"/>
          <w:color w:val="000000"/>
          <w:kern w:val="0"/>
          <w:sz w:val="32"/>
          <w:szCs w:val="32"/>
        </w:rPr>
        <w:t>，获得率和获奖数创历史纪录。获得</w:t>
      </w:r>
      <w:r>
        <w:rPr>
          <w:rFonts w:ascii="仿宋" w:hAnsi="仿宋" w:eastAsia="仿宋" w:cs="仿宋"/>
          <w:color w:val="000000"/>
          <w:kern w:val="0"/>
          <w:sz w:val="32"/>
          <w:szCs w:val="32"/>
        </w:rPr>
        <w:t>2024</w:t>
      </w:r>
      <w:r>
        <w:rPr>
          <w:rFonts w:hint="eastAsia" w:ascii="仿宋" w:hAnsi="仿宋" w:eastAsia="仿宋" w:cs="仿宋"/>
          <w:color w:val="000000"/>
          <w:kern w:val="0"/>
          <w:sz w:val="32"/>
          <w:szCs w:val="32"/>
        </w:rPr>
        <w:t>年“衡阳市科研先进单位”荣誉称号。</w:t>
      </w:r>
    </w:p>
    <w:p>
      <w:pPr>
        <w:spacing w:line="58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（三）落实责任有新举措</w:t>
      </w:r>
    </w:p>
    <w:p>
      <w:pPr>
        <w:widowControl/>
        <w:adjustRightInd w:val="0"/>
        <w:snapToGrid w:val="0"/>
        <w:spacing w:line="560" w:lineRule="exac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1.</w:t>
      </w:r>
      <w:r>
        <w:rPr>
          <w:rFonts w:hint="eastAsia" w:ascii="仿宋" w:hAnsi="仿宋" w:eastAsia="仿宋" w:cs="仿宋"/>
          <w:color w:val="000000"/>
          <w:kern w:val="0"/>
          <w:sz w:val="32"/>
          <w:szCs w:val="32"/>
        </w:rPr>
        <w:t>奏响为党发声乐章。一是突出主业主课，主体班课程设置突出以习近平新时代中国特色社会主义思想为核心，以党的二十届三中全会精神、党纪教育为重点，科学设置理论教育、党性教育、能力提升三个教学板块，理论教育、党性教育占总课时比达</w:t>
      </w:r>
      <w:r>
        <w:rPr>
          <w:rFonts w:ascii="仿宋" w:hAnsi="仿宋" w:eastAsia="仿宋" w:cs="仿宋"/>
          <w:color w:val="000000"/>
          <w:kern w:val="0"/>
          <w:sz w:val="32"/>
          <w:szCs w:val="32"/>
        </w:rPr>
        <w:t>75%</w:t>
      </w:r>
      <w:r>
        <w:rPr>
          <w:rFonts w:hint="eastAsia" w:ascii="仿宋" w:hAnsi="仿宋" w:eastAsia="仿宋" w:cs="仿宋"/>
          <w:color w:val="000000"/>
          <w:kern w:val="0"/>
          <w:sz w:val="32"/>
          <w:szCs w:val="32"/>
        </w:rPr>
        <w:t>，党性教育占总课时比</w:t>
      </w:r>
      <w:r>
        <w:rPr>
          <w:rFonts w:ascii="仿宋" w:hAnsi="仿宋" w:eastAsia="仿宋" w:cs="仿宋"/>
          <w:color w:val="000000"/>
          <w:kern w:val="0"/>
          <w:sz w:val="32"/>
          <w:szCs w:val="32"/>
        </w:rPr>
        <w:t>26%</w:t>
      </w:r>
      <w:r>
        <w:rPr>
          <w:rFonts w:hint="eastAsia" w:ascii="仿宋" w:hAnsi="仿宋" w:eastAsia="仿宋" w:cs="仿宋"/>
          <w:color w:val="000000"/>
          <w:kern w:val="0"/>
          <w:sz w:val="32"/>
          <w:szCs w:val="32"/>
        </w:rPr>
        <w:t>，相关课程比例全部达到《党校工作条例》及党校系统质量评估要求。二是丰富课程内容。共邀请了</w:t>
      </w:r>
      <w:r>
        <w:rPr>
          <w:rFonts w:ascii="仿宋" w:hAnsi="仿宋" w:eastAsia="仿宋" w:cs="仿宋"/>
          <w:color w:val="000000"/>
          <w:kern w:val="0"/>
          <w:sz w:val="32"/>
          <w:szCs w:val="32"/>
        </w:rPr>
        <w:t>5</w:t>
      </w:r>
      <w:r>
        <w:rPr>
          <w:rFonts w:hint="eastAsia" w:ascii="仿宋" w:hAnsi="仿宋" w:eastAsia="仿宋" w:cs="仿宋"/>
          <w:color w:val="000000"/>
          <w:kern w:val="0"/>
          <w:sz w:val="32"/>
          <w:szCs w:val="32"/>
        </w:rPr>
        <w:t>位市委常委到校授课：市市委书记罗卫华；市委常委、市委副书记邹雄杰分别为</w:t>
      </w:r>
      <w:r>
        <w:rPr>
          <w:rFonts w:ascii="仿宋" w:hAnsi="仿宋" w:eastAsia="仿宋" w:cs="仿宋"/>
          <w:color w:val="000000"/>
          <w:kern w:val="0"/>
          <w:sz w:val="32"/>
          <w:szCs w:val="32"/>
        </w:rPr>
        <w:t>2024</w:t>
      </w:r>
      <w:r>
        <w:rPr>
          <w:rFonts w:hint="eastAsia" w:ascii="仿宋" w:hAnsi="仿宋" w:eastAsia="仿宋" w:cs="仿宋"/>
          <w:color w:val="000000"/>
          <w:kern w:val="0"/>
          <w:sz w:val="32"/>
          <w:szCs w:val="32"/>
        </w:rPr>
        <w:t>年中青班和科干班作“开学第一课”专题辅导，市委常委、宣传部部长何晓钦；市委常委、市委办主任、市直属机关工作委员会书记金慧慧；市委常委，市政府党组副书记、市政府常务副市长周俊先后到党校主体班授课。邀请了衡阳市委党校、衡阳市委统战部、衡阳市应急管理局、衡阳市委办对台联络交流科等</w:t>
      </w:r>
      <w:r>
        <w:rPr>
          <w:rFonts w:ascii="仿宋" w:hAnsi="仿宋" w:eastAsia="仿宋" w:cs="仿宋"/>
          <w:color w:val="000000"/>
          <w:kern w:val="0"/>
          <w:sz w:val="32"/>
          <w:szCs w:val="32"/>
        </w:rPr>
        <w:t>4</w:t>
      </w:r>
      <w:r>
        <w:rPr>
          <w:rFonts w:hint="eastAsia" w:ascii="仿宋" w:hAnsi="仿宋" w:eastAsia="仿宋" w:cs="仿宋"/>
          <w:color w:val="000000"/>
          <w:kern w:val="0"/>
          <w:sz w:val="32"/>
          <w:szCs w:val="32"/>
        </w:rPr>
        <w:t>位衡阳市领导专家到校授课。还邀请了市纪委、市法院、市委统战部、市财政局、市统计局、市侨联、洋泉镇、西岭镇平安村等</w:t>
      </w:r>
      <w:r>
        <w:rPr>
          <w:rFonts w:ascii="仿宋" w:hAnsi="仿宋" w:eastAsia="仿宋" w:cs="仿宋"/>
          <w:color w:val="000000"/>
          <w:kern w:val="0"/>
          <w:sz w:val="32"/>
          <w:szCs w:val="32"/>
        </w:rPr>
        <w:t>9</w:t>
      </w:r>
      <w:r>
        <w:rPr>
          <w:rFonts w:hint="eastAsia" w:ascii="仿宋" w:hAnsi="仿宋" w:eastAsia="仿宋" w:cs="仿宋"/>
          <w:color w:val="000000"/>
          <w:kern w:val="0"/>
          <w:sz w:val="32"/>
          <w:szCs w:val="32"/>
        </w:rPr>
        <w:t>个部门的负责同志到校授课。</w:t>
      </w:r>
      <w:r>
        <w:rPr>
          <w:rFonts w:ascii="仿宋" w:hAnsi="仿宋" w:eastAsia="仿宋" w:cs="仿宋"/>
          <w:color w:val="000000"/>
          <w:kern w:val="0"/>
          <w:sz w:val="32"/>
          <w:szCs w:val="32"/>
        </w:rPr>
        <w:t>2024</w:t>
      </w:r>
      <w:r>
        <w:rPr>
          <w:rFonts w:hint="eastAsia" w:ascii="仿宋" w:hAnsi="仿宋" w:eastAsia="仿宋" w:cs="仿宋"/>
          <w:color w:val="000000"/>
          <w:kern w:val="0"/>
          <w:sz w:val="32"/>
          <w:szCs w:val="32"/>
        </w:rPr>
        <w:t>年主体班领导干部上讲台专题共</w:t>
      </w:r>
      <w:r>
        <w:rPr>
          <w:rFonts w:ascii="仿宋" w:hAnsi="仿宋" w:eastAsia="仿宋" w:cs="仿宋"/>
          <w:color w:val="000000"/>
          <w:kern w:val="0"/>
          <w:sz w:val="32"/>
          <w:szCs w:val="32"/>
        </w:rPr>
        <w:t>18</w:t>
      </w:r>
      <w:r>
        <w:rPr>
          <w:rFonts w:hint="eastAsia" w:ascii="仿宋" w:hAnsi="仿宋" w:eastAsia="仿宋" w:cs="仿宋"/>
          <w:color w:val="000000"/>
          <w:kern w:val="0"/>
          <w:sz w:val="32"/>
          <w:szCs w:val="32"/>
        </w:rPr>
        <w:t>个，占总课时比</w:t>
      </w:r>
      <w:r>
        <w:rPr>
          <w:rFonts w:ascii="仿宋" w:hAnsi="仿宋" w:eastAsia="仿宋" w:cs="仿宋"/>
          <w:color w:val="000000"/>
          <w:kern w:val="0"/>
          <w:sz w:val="32"/>
          <w:szCs w:val="32"/>
        </w:rPr>
        <w:t>23%</w:t>
      </w:r>
      <w:r>
        <w:rPr>
          <w:rFonts w:hint="eastAsia" w:ascii="仿宋" w:hAnsi="仿宋" w:eastAsia="仿宋" w:cs="仿宋"/>
          <w:color w:val="000000"/>
          <w:kern w:val="0"/>
          <w:sz w:val="32"/>
          <w:szCs w:val="32"/>
        </w:rPr>
        <w:t>。三是注重教学创新。在教学方式上有了进一步创新，充分利用本市红色资源，开发了</w:t>
      </w:r>
      <w:r>
        <w:rPr>
          <w:rFonts w:ascii="仿宋" w:hAnsi="仿宋" w:eastAsia="仿宋" w:cs="仿宋"/>
          <w:color w:val="000000"/>
          <w:kern w:val="0"/>
          <w:sz w:val="32"/>
          <w:szCs w:val="32"/>
        </w:rPr>
        <w:t>3</w:t>
      </w:r>
      <w:r>
        <w:rPr>
          <w:rFonts w:hint="eastAsia" w:ascii="仿宋" w:hAnsi="仿宋" w:eastAsia="仿宋" w:cs="仿宋"/>
          <w:color w:val="000000"/>
          <w:kern w:val="0"/>
          <w:sz w:val="32"/>
          <w:szCs w:val="32"/>
        </w:rPr>
        <w:t>堂体验式的现场教学课：《从八百矿工上井冈的伟大斗争中汲取奋进力量》《廉洁将军彭明治》《坚如磐石心似月》。</w:t>
      </w:r>
      <w:r>
        <w:rPr>
          <w:rFonts w:ascii="仿宋" w:hAnsi="仿宋" w:eastAsia="仿宋" w:cs="仿宋"/>
          <w:color w:val="000000"/>
          <w:kern w:val="0"/>
          <w:sz w:val="32"/>
          <w:szCs w:val="32"/>
        </w:rPr>
        <w:t>2024</w:t>
      </w:r>
      <w:r>
        <w:rPr>
          <w:rFonts w:hint="eastAsia" w:ascii="仿宋" w:hAnsi="仿宋" w:eastAsia="仿宋" w:cs="仿宋"/>
          <w:color w:val="000000"/>
          <w:kern w:val="0"/>
          <w:sz w:val="32"/>
          <w:szCs w:val="32"/>
        </w:rPr>
        <w:t>年新教学方法课题占总课时比</w:t>
      </w:r>
      <w:r>
        <w:rPr>
          <w:rFonts w:ascii="仿宋" w:hAnsi="仿宋" w:eastAsia="仿宋" w:cs="仿宋"/>
          <w:color w:val="000000"/>
          <w:kern w:val="0"/>
          <w:sz w:val="32"/>
          <w:szCs w:val="32"/>
        </w:rPr>
        <w:t>28%</w:t>
      </w:r>
      <w:r>
        <w:rPr>
          <w:rFonts w:hint="eastAsia" w:ascii="仿宋" w:hAnsi="仿宋" w:eastAsia="仿宋" w:cs="仿宋"/>
          <w:color w:val="000000"/>
          <w:kern w:val="0"/>
          <w:sz w:val="32"/>
          <w:szCs w:val="32"/>
        </w:rPr>
        <w:t>；更新课题</w:t>
      </w:r>
      <w:r>
        <w:rPr>
          <w:rFonts w:ascii="仿宋" w:hAnsi="仿宋" w:eastAsia="仿宋" w:cs="仿宋"/>
          <w:color w:val="000000"/>
          <w:kern w:val="0"/>
          <w:sz w:val="32"/>
          <w:szCs w:val="32"/>
        </w:rPr>
        <w:t>58</w:t>
      </w:r>
      <w:r>
        <w:rPr>
          <w:rFonts w:hint="eastAsia" w:ascii="仿宋" w:hAnsi="仿宋" w:eastAsia="仿宋" w:cs="仿宋"/>
          <w:color w:val="000000"/>
          <w:kern w:val="0"/>
          <w:sz w:val="32"/>
          <w:szCs w:val="32"/>
        </w:rPr>
        <w:t>个，占总课时比</w:t>
      </w:r>
      <w:r>
        <w:rPr>
          <w:rFonts w:ascii="仿宋" w:hAnsi="仿宋" w:eastAsia="仿宋" w:cs="仿宋"/>
          <w:color w:val="000000"/>
          <w:kern w:val="0"/>
          <w:sz w:val="32"/>
          <w:szCs w:val="32"/>
        </w:rPr>
        <w:t>71%</w:t>
      </w:r>
      <w:r>
        <w:rPr>
          <w:rFonts w:hint="eastAsia" w:ascii="仿宋" w:hAnsi="仿宋" w:eastAsia="仿宋" w:cs="仿宋"/>
          <w:color w:val="000000"/>
          <w:kern w:val="0"/>
          <w:sz w:val="32"/>
          <w:szCs w:val="32"/>
        </w:rPr>
        <w:t>。四是准确为党发声。充分发挥党校理论传播前沿阵地和喉舌作用，对全面深入宣传贯彻党的二十届三中全会精神，进行了集体备课，努力传播好党的声音，阐释好党的政策。选派了</w:t>
      </w:r>
      <w:r>
        <w:rPr>
          <w:rFonts w:ascii="仿宋" w:hAnsi="仿宋" w:eastAsia="仿宋" w:cs="仿宋"/>
          <w:color w:val="000000"/>
          <w:kern w:val="0"/>
          <w:sz w:val="32"/>
          <w:szCs w:val="32"/>
        </w:rPr>
        <w:t>8</w:t>
      </w:r>
      <w:r>
        <w:rPr>
          <w:rFonts w:hint="eastAsia" w:ascii="仿宋" w:hAnsi="仿宋" w:eastAsia="仿宋" w:cs="仿宋"/>
          <w:color w:val="000000"/>
          <w:kern w:val="0"/>
          <w:sz w:val="32"/>
          <w:szCs w:val="32"/>
        </w:rPr>
        <w:t>名高级讲师加入市委宣讲团，深入乡镇、市直单位、企业、学校、村（社区）开展宣讲，共</w:t>
      </w:r>
      <w:r>
        <w:rPr>
          <w:rFonts w:ascii="仿宋" w:hAnsi="仿宋" w:eastAsia="仿宋" w:cs="仿宋"/>
          <w:color w:val="000000"/>
          <w:kern w:val="0"/>
          <w:sz w:val="32"/>
          <w:szCs w:val="32"/>
        </w:rPr>
        <w:t>100</w:t>
      </w:r>
      <w:r>
        <w:rPr>
          <w:rFonts w:hint="eastAsia" w:ascii="仿宋" w:hAnsi="仿宋" w:eastAsia="仿宋" w:cs="仿宋"/>
          <w:color w:val="000000"/>
          <w:kern w:val="0"/>
          <w:sz w:val="32"/>
          <w:szCs w:val="32"/>
        </w:rPr>
        <w:t>余场次，受众达</w:t>
      </w:r>
      <w:r>
        <w:rPr>
          <w:rFonts w:ascii="仿宋" w:hAnsi="仿宋" w:eastAsia="仿宋" w:cs="仿宋"/>
          <w:color w:val="000000"/>
          <w:kern w:val="0"/>
          <w:sz w:val="32"/>
          <w:szCs w:val="32"/>
        </w:rPr>
        <w:t>6000</w:t>
      </w:r>
      <w:r>
        <w:rPr>
          <w:rFonts w:hint="eastAsia" w:ascii="仿宋" w:hAnsi="仿宋" w:eastAsia="仿宋" w:cs="仿宋"/>
          <w:color w:val="000000"/>
          <w:kern w:val="0"/>
          <w:sz w:val="32"/>
          <w:szCs w:val="32"/>
        </w:rPr>
        <w:t>余人次，党校“智库”作用的辐射和影响得到散发和深化。</w:t>
      </w:r>
    </w:p>
    <w:p>
      <w:pPr>
        <w:widowControl/>
        <w:adjustRightInd w:val="0"/>
        <w:snapToGrid w:val="0"/>
        <w:spacing w:line="560" w:lineRule="exac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2.</w:t>
      </w:r>
      <w:r>
        <w:rPr>
          <w:rFonts w:hint="eastAsia" w:ascii="仿宋" w:hAnsi="仿宋" w:eastAsia="仿宋" w:cs="仿宋"/>
          <w:color w:val="000000"/>
          <w:kern w:val="0"/>
          <w:sz w:val="32"/>
          <w:szCs w:val="32"/>
        </w:rPr>
        <w:t>提升科研咨政含金量。聚焦常宁经济工作关键点、难点堵点，校委会设置了</w:t>
      </w:r>
      <w:r>
        <w:rPr>
          <w:rFonts w:ascii="仿宋" w:hAnsi="仿宋" w:eastAsia="仿宋" w:cs="仿宋"/>
          <w:color w:val="000000"/>
          <w:kern w:val="0"/>
          <w:sz w:val="32"/>
          <w:szCs w:val="32"/>
        </w:rPr>
        <w:t>3</w:t>
      </w:r>
      <w:r>
        <w:rPr>
          <w:rFonts w:hint="eastAsia" w:ascii="仿宋" w:hAnsi="仿宋" w:eastAsia="仿宋" w:cs="仿宋"/>
          <w:color w:val="000000"/>
          <w:kern w:val="0"/>
          <w:sz w:val="32"/>
          <w:szCs w:val="32"/>
        </w:rPr>
        <w:t>个调研课题，成立了</w:t>
      </w:r>
      <w:r>
        <w:rPr>
          <w:rFonts w:ascii="仿宋" w:hAnsi="仿宋" w:eastAsia="仿宋" w:cs="仿宋"/>
          <w:color w:val="000000"/>
          <w:kern w:val="0"/>
          <w:sz w:val="32"/>
          <w:szCs w:val="32"/>
        </w:rPr>
        <w:t>3</w:t>
      </w:r>
      <w:r>
        <w:rPr>
          <w:rFonts w:hint="eastAsia" w:ascii="仿宋" w:hAnsi="仿宋" w:eastAsia="仿宋" w:cs="仿宋"/>
          <w:color w:val="000000"/>
          <w:kern w:val="0"/>
          <w:sz w:val="32"/>
          <w:szCs w:val="32"/>
        </w:rPr>
        <w:t>个调研组，全体教职员工安排咨政调研任务，深入基层一线，深入群众走访，收集常宁经济振兴第一手资料。在主体班学员本市调研时，安排了“水口山千亿产业面临的机遇与挑战”“电商如何促进乡村振兴”“发展粮食生产壮大村集体经济”“推进县域经济社会高质量发展”等调研课题。分别到水口山镇、洋泉镇、西岭镇、衡阳市开展了实地调研，使学员对常宁的发展路径有了更为务实的思考，撰写了一大批高质量的调研报告。为常宁市经济建设大计谋计策、出点子，切实贡献党校“智库”作用。</w:t>
      </w:r>
    </w:p>
    <w:p>
      <w:pPr>
        <w:widowControl/>
        <w:adjustRightInd w:val="0"/>
        <w:snapToGrid w:val="0"/>
        <w:spacing w:line="560" w:lineRule="exac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3.</w:t>
      </w:r>
      <w:r>
        <w:rPr>
          <w:rFonts w:hint="eastAsia" w:ascii="仿宋" w:hAnsi="仿宋" w:eastAsia="仿宋" w:cs="仿宋"/>
          <w:color w:val="000000"/>
          <w:kern w:val="0"/>
          <w:sz w:val="32"/>
          <w:szCs w:val="32"/>
        </w:rPr>
        <w:t>夯实党校事业高质量发展根基。党校新校区于今年</w:t>
      </w:r>
      <w:r>
        <w:rPr>
          <w:rFonts w:ascii="仿宋" w:hAnsi="仿宋" w:eastAsia="仿宋" w:cs="仿宋"/>
          <w:color w:val="000000"/>
          <w:kern w:val="0"/>
          <w:sz w:val="32"/>
          <w:szCs w:val="32"/>
        </w:rPr>
        <w:t>7</w:t>
      </w:r>
    </w:p>
    <w:p>
      <w:pPr>
        <w:widowControl/>
        <w:adjustRightInd w:val="0"/>
        <w:snapToGrid w:val="0"/>
        <w:spacing w:line="56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月</w:t>
      </w:r>
      <w:r>
        <w:rPr>
          <w:rFonts w:ascii="仿宋" w:hAnsi="仿宋" w:eastAsia="仿宋" w:cs="仿宋"/>
          <w:color w:val="000000"/>
          <w:kern w:val="0"/>
          <w:sz w:val="32"/>
          <w:szCs w:val="32"/>
        </w:rPr>
        <w:t>1</w:t>
      </w:r>
      <w:r>
        <w:rPr>
          <w:rFonts w:hint="eastAsia" w:ascii="仿宋" w:hAnsi="仿宋" w:eastAsia="仿宋" w:cs="仿宋"/>
          <w:color w:val="000000"/>
          <w:kern w:val="0"/>
          <w:sz w:val="32"/>
          <w:szCs w:val="32"/>
        </w:rPr>
        <w:t>日搬入办公，明年将全面交付使用，</w:t>
      </w:r>
      <w:r>
        <w:rPr>
          <w:rFonts w:ascii="仿宋" w:hAnsi="仿宋" w:eastAsia="仿宋" w:cs="仿宋"/>
          <w:color w:val="000000"/>
          <w:kern w:val="0"/>
          <w:sz w:val="32"/>
          <w:szCs w:val="32"/>
        </w:rPr>
        <w:t>8</w:t>
      </w:r>
      <w:r>
        <w:rPr>
          <w:rFonts w:hint="eastAsia" w:ascii="仿宋" w:hAnsi="仿宋" w:eastAsia="仿宋" w:cs="仿宋"/>
          <w:color w:val="000000"/>
          <w:kern w:val="0"/>
          <w:sz w:val="32"/>
          <w:szCs w:val="32"/>
        </w:rPr>
        <w:t>年的租房办公囧境已成历史，这是市委市政府落实习总书记“各级党委和政府要从实际出发加强党校基础设施和师资力量建设，尽可能改善市、县两级党校的办学条件”指示精神的生动实践，也是党校事业新质向上的关键节点。</w:t>
      </w:r>
    </w:p>
    <w:p>
      <w:pPr>
        <w:widowControl/>
        <w:adjustRightInd w:val="0"/>
        <w:snapToGrid w:val="0"/>
        <w:spacing w:line="56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党校新校区设施齐全，配置先进，功能全面。有</w:t>
      </w:r>
      <w:r>
        <w:rPr>
          <w:rFonts w:ascii="仿宋" w:hAnsi="仿宋" w:eastAsia="仿宋" w:cs="仿宋"/>
          <w:color w:val="000000"/>
          <w:kern w:val="0"/>
          <w:sz w:val="32"/>
          <w:szCs w:val="32"/>
        </w:rPr>
        <w:t>100</w:t>
      </w:r>
      <w:r>
        <w:rPr>
          <w:rFonts w:hint="eastAsia" w:ascii="仿宋" w:hAnsi="仿宋" w:eastAsia="仿宋" w:cs="仿宋"/>
          <w:color w:val="000000"/>
          <w:kern w:val="0"/>
          <w:sz w:val="32"/>
          <w:szCs w:val="32"/>
        </w:rPr>
        <w:t>人、</w:t>
      </w:r>
      <w:r>
        <w:rPr>
          <w:rFonts w:ascii="仿宋" w:hAnsi="仿宋" w:eastAsia="仿宋" w:cs="仿宋"/>
          <w:color w:val="000000"/>
          <w:kern w:val="0"/>
          <w:sz w:val="32"/>
          <w:szCs w:val="32"/>
        </w:rPr>
        <w:t>200</w:t>
      </w:r>
      <w:r>
        <w:rPr>
          <w:rFonts w:hint="eastAsia" w:ascii="仿宋" w:hAnsi="仿宋" w:eastAsia="仿宋" w:cs="仿宋"/>
          <w:color w:val="000000"/>
          <w:kern w:val="0"/>
          <w:sz w:val="32"/>
          <w:szCs w:val="32"/>
        </w:rPr>
        <w:t>人、</w:t>
      </w:r>
      <w:r>
        <w:rPr>
          <w:rFonts w:ascii="仿宋" w:hAnsi="仿宋" w:eastAsia="仿宋" w:cs="仿宋"/>
          <w:color w:val="000000"/>
          <w:kern w:val="0"/>
          <w:sz w:val="32"/>
          <w:szCs w:val="32"/>
        </w:rPr>
        <w:t>300</w:t>
      </w:r>
      <w:r>
        <w:rPr>
          <w:rFonts w:hint="eastAsia" w:ascii="仿宋" w:hAnsi="仿宋" w:eastAsia="仿宋" w:cs="仿宋"/>
          <w:color w:val="000000"/>
          <w:kern w:val="0"/>
          <w:sz w:val="32"/>
          <w:szCs w:val="32"/>
        </w:rPr>
        <w:t>人的综合报告厅各一个。</w:t>
      </w:r>
      <w:r>
        <w:rPr>
          <w:rFonts w:ascii="仿宋" w:hAnsi="仿宋" w:eastAsia="仿宋" w:cs="仿宋"/>
          <w:color w:val="000000"/>
          <w:kern w:val="0"/>
          <w:sz w:val="32"/>
          <w:szCs w:val="32"/>
        </w:rPr>
        <w:t>4</w:t>
      </w:r>
      <w:r>
        <w:rPr>
          <w:rFonts w:hint="eastAsia" w:ascii="仿宋" w:hAnsi="仿宋" w:eastAsia="仿宋" w:cs="仿宋"/>
          <w:color w:val="000000"/>
          <w:kern w:val="0"/>
          <w:sz w:val="32"/>
          <w:szCs w:val="32"/>
        </w:rPr>
        <w:t>间教室、</w:t>
      </w:r>
      <w:r>
        <w:rPr>
          <w:rFonts w:ascii="仿宋" w:hAnsi="仿宋" w:eastAsia="仿宋" w:cs="仿宋"/>
          <w:color w:val="000000"/>
          <w:kern w:val="0"/>
          <w:sz w:val="32"/>
          <w:szCs w:val="32"/>
        </w:rPr>
        <w:t>6</w:t>
      </w:r>
      <w:r>
        <w:rPr>
          <w:rFonts w:hint="eastAsia" w:ascii="仿宋" w:hAnsi="仿宋" w:eastAsia="仿宋" w:cs="仿宋"/>
          <w:color w:val="000000"/>
          <w:kern w:val="0"/>
          <w:sz w:val="32"/>
          <w:szCs w:val="32"/>
        </w:rPr>
        <w:t>间讨论室能同时能满足</w:t>
      </w:r>
      <w:r>
        <w:rPr>
          <w:rFonts w:ascii="仿宋" w:hAnsi="仿宋" w:eastAsia="仿宋" w:cs="仿宋"/>
          <w:color w:val="000000"/>
          <w:kern w:val="0"/>
          <w:sz w:val="32"/>
          <w:szCs w:val="32"/>
        </w:rPr>
        <w:t>240</w:t>
      </w:r>
      <w:r>
        <w:rPr>
          <w:rFonts w:hint="eastAsia" w:ascii="仿宋" w:hAnsi="仿宋" w:eastAsia="仿宋" w:cs="仿宋"/>
          <w:color w:val="000000"/>
          <w:kern w:val="0"/>
          <w:sz w:val="32"/>
          <w:szCs w:val="32"/>
        </w:rPr>
        <w:t>名学员培训。大型食堂能同时能满足</w:t>
      </w:r>
      <w:r>
        <w:rPr>
          <w:rFonts w:ascii="仿宋" w:hAnsi="仿宋" w:eastAsia="仿宋" w:cs="仿宋"/>
          <w:color w:val="000000"/>
          <w:kern w:val="0"/>
          <w:sz w:val="32"/>
          <w:szCs w:val="32"/>
        </w:rPr>
        <w:t>200</w:t>
      </w:r>
      <w:r>
        <w:rPr>
          <w:rFonts w:hint="eastAsia" w:ascii="仿宋" w:hAnsi="仿宋" w:eastAsia="仿宋" w:cs="仿宋"/>
          <w:color w:val="000000"/>
          <w:kern w:val="0"/>
          <w:sz w:val="32"/>
          <w:szCs w:val="32"/>
        </w:rPr>
        <w:t>人就餐，高标准配置的单间和标间可同时满足</w:t>
      </w:r>
      <w:r>
        <w:rPr>
          <w:rFonts w:ascii="仿宋" w:hAnsi="仿宋" w:eastAsia="仿宋" w:cs="仿宋"/>
          <w:color w:val="000000"/>
          <w:kern w:val="0"/>
          <w:sz w:val="32"/>
          <w:szCs w:val="32"/>
        </w:rPr>
        <w:t>150</w:t>
      </w:r>
      <w:r>
        <w:rPr>
          <w:rFonts w:hint="eastAsia" w:ascii="仿宋" w:hAnsi="仿宋" w:eastAsia="仿宋" w:cs="仿宋"/>
          <w:color w:val="000000"/>
          <w:kern w:val="0"/>
          <w:sz w:val="32"/>
          <w:szCs w:val="32"/>
        </w:rPr>
        <w:t>人住宿，室外球场、室内学习及运动、文化艺术设施一应俱全。住校培训、封闭管理将为各类培训、学习、会议提供坚实可靠保障。</w:t>
      </w:r>
    </w:p>
    <w:p>
      <w:pPr>
        <w:spacing w:line="592" w:lineRule="exact"/>
        <w:ind w:firstLine="640" w:firstLineChars="200"/>
        <w:outlineLvl w:val="0"/>
        <w:rPr>
          <w:rFonts w:eastAsia="黑体"/>
          <w:sz w:val="32"/>
          <w:szCs w:val="32"/>
        </w:rPr>
      </w:pPr>
      <w:r>
        <w:rPr>
          <w:rFonts w:hint="eastAsia" w:eastAsia="黑体"/>
          <w:sz w:val="32"/>
          <w:szCs w:val="32"/>
        </w:rPr>
        <w:t>七、存在的问题及原因分析</w:t>
      </w:r>
    </w:p>
    <w:p>
      <w:pPr>
        <w:widowControl/>
        <w:adjustRightInd w:val="0"/>
        <w:snapToGrid w:val="0"/>
        <w:spacing w:line="560" w:lineRule="exac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1.</w:t>
      </w:r>
      <w:r>
        <w:rPr>
          <w:rFonts w:hint="eastAsia" w:ascii="仿宋" w:hAnsi="仿宋" w:eastAsia="仿宋" w:cs="仿宋"/>
          <w:color w:val="000000"/>
          <w:kern w:val="0"/>
          <w:sz w:val="32"/>
          <w:szCs w:val="32"/>
        </w:rPr>
        <w:t>人才队伍建设急需加强。党校核编</w:t>
      </w:r>
      <w:r>
        <w:rPr>
          <w:rFonts w:ascii="仿宋" w:hAnsi="仿宋" w:eastAsia="仿宋" w:cs="仿宋"/>
          <w:color w:val="000000"/>
          <w:kern w:val="0"/>
          <w:sz w:val="32"/>
          <w:szCs w:val="32"/>
        </w:rPr>
        <w:t>25</w:t>
      </w:r>
      <w:r>
        <w:rPr>
          <w:rFonts w:hint="eastAsia" w:ascii="仿宋" w:hAnsi="仿宋" w:eastAsia="仿宋" w:cs="仿宋"/>
          <w:color w:val="000000"/>
          <w:kern w:val="0"/>
          <w:sz w:val="32"/>
          <w:szCs w:val="32"/>
        </w:rPr>
        <w:t>人，在编</w:t>
      </w:r>
      <w:r>
        <w:rPr>
          <w:rFonts w:ascii="仿宋" w:hAnsi="仿宋" w:eastAsia="仿宋" w:cs="仿宋"/>
          <w:color w:val="000000"/>
          <w:kern w:val="0"/>
          <w:sz w:val="32"/>
          <w:szCs w:val="32"/>
        </w:rPr>
        <w:t>22</w:t>
      </w:r>
      <w:r>
        <w:rPr>
          <w:rFonts w:hint="eastAsia" w:ascii="仿宋" w:hAnsi="仿宋" w:eastAsia="仿宋" w:cs="仿宋"/>
          <w:color w:val="000000"/>
          <w:kern w:val="0"/>
          <w:sz w:val="32"/>
          <w:szCs w:val="32"/>
        </w:rPr>
        <w:t>人，其中驻村干部、退二线人员</w:t>
      </w:r>
      <w:r>
        <w:rPr>
          <w:rFonts w:ascii="仿宋" w:hAnsi="仿宋" w:eastAsia="仿宋" w:cs="仿宋"/>
          <w:color w:val="000000"/>
          <w:kern w:val="0"/>
          <w:sz w:val="32"/>
          <w:szCs w:val="32"/>
        </w:rPr>
        <w:t>5</w:t>
      </w:r>
      <w:r>
        <w:rPr>
          <w:rFonts w:hint="eastAsia" w:ascii="仿宋" w:hAnsi="仿宋" w:eastAsia="仿宋" w:cs="仿宋"/>
          <w:color w:val="000000"/>
          <w:kern w:val="0"/>
          <w:sz w:val="32"/>
          <w:szCs w:val="32"/>
        </w:rPr>
        <w:t>人，实际正常上岗的只有</w:t>
      </w:r>
      <w:r>
        <w:rPr>
          <w:rFonts w:ascii="仿宋" w:hAnsi="仿宋" w:eastAsia="仿宋" w:cs="仿宋"/>
          <w:color w:val="000000"/>
          <w:kern w:val="0"/>
          <w:sz w:val="32"/>
          <w:szCs w:val="32"/>
        </w:rPr>
        <w:t>17</w:t>
      </w:r>
      <w:r>
        <w:rPr>
          <w:rFonts w:hint="eastAsia" w:ascii="仿宋" w:hAnsi="仿宋" w:eastAsia="仿宋" w:cs="仿宋"/>
          <w:color w:val="000000"/>
          <w:kern w:val="0"/>
          <w:sz w:val="32"/>
          <w:szCs w:val="32"/>
        </w:rPr>
        <w:t>人，人力资源十分紧缺。且</w:t>
      </w:r>
      <w:r>
        <w:rPr>
          <w:rFonts w:ascii="仿宋" w:hAnsi="仿宋" w:eastAsia="仿宋" w:cs="仿宋"/>
          <w:color w:val="000000"/>
          <w:kern w:val="0"/>
          <w:sz w:val="32"/>
          <w:szCs w:val="32"/>
        </w:rPr>
        <w:t>30</w:t>
      </w:r>
      <w:r>
        <w:rPr>
          <w:rFonts w:hint="eastAsia" w:ascii="仿宋" w:hAnsi="仿宋" w:eastAsia="仿宋" w:cs="仿宋"/>
          <w:color w:val="000000"/>
          <w:kern w:val="0"/>
          <w:sz w:val="32"/>
          <w:szCs w:val="32"/>
        </w:rPr>
        <w:t>岁以下的教学人员为</w:t>
      </w:r>
      <w:r>
        <w:rPr>
          <w:rFonts w:ascii="仿宋" w:hAnsi="仿宋" w:eastAsia="仿宋" w:cs="仿宋"/>
          <w:color w:val="000000"/>
          <w:kern w:val="0"/>
          <w:sz w:val="32"/>
          <w:szCs w:val="32"/>
        </w:rPr>
        <w:t>0</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50</w:t>
      </w:r>
      <w:r>
        <w:rPr>
          <w:rFonts w:hint="eastAsia" w:ascii="仿宋" w:hAnsi="仿宋" w:eastAsia="仿宋" w:cs="仿宋"/>
          <w:color w:val="000000"/>
          <w:kern w:val="0"/>
          <w:sz w:val="32"/>
          <w:szCs w:val="32"/>
        </w:rPr>
        <w:t>岁以上的有</w:t>
      </w:r>
      <w:r>
        <w:rPr>
          <w:rFonts w:ascii="仿宋" w:hAnsi="仿宋" w:eastAsia="仿宋" w:cs="仿宋"/>
          <w:color w:val="000000"/>
          <w:kern w:val="0"/>
          <w:sz w:val="32"/>
          <w:szCs w:val="32"/>
        </w:rPr>
        <w:t>5</w:t>
      </w:r>
      <w:r>
        <w:rPr>
          <w:rFonts w:hint="eastAsia" w:ascii="仿宋" w:hAnsi="仿宋" w:eastAsia="仿宋" w:cs="仿宋"/>
          <w:color w:val="000000"/>
          <w:kern w:val="0"/>
          <w:sz w:val="32"/>
          <w:szCs w:val="32"/>
        </w:rPr>
        <w:t>人，平均年龄偏大，师资力量薄弱。根据培训方案测算，每年基本培训规模是由原来的</w:t>
      </w:r>
      <w:r>
        <w:rPr>
          <w:rFonts w:ascii="仿宋" w:hAnsi="仿宋" w:eastAsia="仿宋" w:cs="仿宋"/>
          <w:color w:val="000000"/>
          <w:kern w:val="0"/>
          <w:sz w:val="32"/>
          <w:szCs w:val="32"/>
        </w:rPr>
        <w:t>120</w:t>
      </w:r>
      <w:r>
        <w:rPr>
          <w:rFonts w:hint="eastAsia" w:ascii="仿宋" w:hAnsi="仿宋" w:eastAsia="仿宋" w:cs="仿宋"/>
          <w:color w:val="000000"/>
          <w:kern w:val="0"/>
          <w:sz w:val="32"/>
          <w:szCs w:val="32"/>
        </w:rPr>
        <w:t>人增加到</w:t>
      </w:r>
      <w:r>
        <w:rPr>
          <w:rFonts w:ascii="仿宋" w:hAnsi="仿宋" w:eastAsia="仿宋" w:cs="仿宋"/>
          <w:color w:val="000000"/>
          <w:kern w:val="0"/>
          <w:sz w:val="32"/>
          <w:szCs w:val="32"/>
        </w:rPr>
        <w:t>1200</w:t>
      </w:r>
      <w:r>
        <w:rPr>
          <w:rFonts w:hint="eastAsia" w:ascii="仿宋" w:hAnsi="仿宋" w:eastAsia="仿宋" w:cs="仿宋"/>
          <w:color w:val="000000"/>
          <w:kern w:val="0"/>
          <w:sz w:val="32"/>
          <w:szCs w:val="32"/>
        </w:rPr>
        <w:t>人，工作量、工作任务将增加</w:t>
      </w:r>
      <w:r>
        <w:rPr>
          <w:rFonts w:ascii="仿宋" w:hAnsi="仿宋" w:eastAsia="仿宋" w:cs="仿宋"/>
          <w:color w:val="000000"/>
          <w:kern w:val="0"/>
          <w:sz w:val="32"/>
          <w:szCs w:val="32"/>
        </w:rPr>
        <w:t>10</w:t>
      </w:r>
      <w:r>
        <w:rPr>
          <w:rFonts w:hint="eastAsia" w:ascii="仿宋" w:hAnsi="仿宋" w:eastAsia="仿宋" w:cs="仿宋"/>
          <w:color w:val="000000"/>
          <w:kern w:val="0"/>
          <w:sz w:val="32"/>
          <w:szCs w:val="32"/>
        </w:rPr>
        <w:t>倍，现有人员满足不了超负荷运转。根据湖南省《县级党校（行政学校）办学质量评估》标准，</w:t>
      </w:r>
      <w:r>
        <w:rPr>
          <w:rFonts w:ascii="仿宋" w:hAnsi="仿宋" w:eastAsia="仿宋" w:cs="仿宋"/>
          <w:color w:val="000000"/>
          <w:kern w:val="0"/>
          <w:sz w:val="32"/>
          <w:szCs w:val="32"/>
        </w:rPr>
        <w:t>80</w:t>
      </w:r>
      <w:r>
        <w:rPr>
          <w:rFonts w:hint="eastAsia" w:ascii="仿宋" w:hAnsi="仿宋" w:eastAsia="仿宋" w:cs="仿宋"/>
          <w:color w:val="000000"/>
          <w:kern w:val="0"/>
          <w:sz w:val="32"/>
          <w:szCs w:val="32"/>
        </w:rPr>
        <w:t>万人口以上的县市，编制配置</w:t>
      </w:r>
      <w:r>
        <w:rPr>
          <w:rFonts w:ascii="仿宋" w:hAnsi="仿宋" w:eastAsia="仿宋" w:cs="仿宋"/>
          <w:color w:val="000000"/>
          <w:kern w:val="0"/>
          <w:sz w:val="32"/>
          <w:szCs w:val="32"/>
        </w:rPr>
        <w:t>35</w:t>
      </w:r>
      <w:r>
        <w:rPr>
          <w:rFonts w:hint="eastAsia" w:ascii="仿宋" w:hAnsi="仿宋" w:eastAsia="仿宋" w:cs="仿宋"/>
          <w:color w:val="000000"/>
          <w:kern w:val="0"/>
          <w:sz w:val="32"/>
          <w:szCs w:val="32"/>
        </w:rPr>
        <w:t>个，周边县市都已达标。在现有的</w:t>
      </w:r>
      <w:r>
        <w:rPr>
          <w:rFonts w:ascii="仿宋" w:hAnsi="仿宋" w:eastAsia="仿宋" w:cs="仿宋"/>
          <w:color w:val="000000"/>
          <w:kern w:val="0"/>
          <w:sz w:val="32"/>
          <w:szCs w:val="32"/>
        </w:rPr>
        <w:t>25</w:t>
      </w:r>
      <w:r>
        <w:rPr>
          <w:rFonts w:hint="eastAsia" w:ascii="仿宋" w:hAnsi="仿宋" w:eastAsia="仿宋" w:cs="仿宋"/>
          <w:color w:val="000000"/>
          <w:kern w:val="0"/>
          <w:sz w:val="32"/>
          <w:szCs w:val="32"/>
        </w:rPr>
        <w:t>个编制的基础上至少增加</w:t>
      </w:r>
      <w:r>
        <w:rPr>
          <w:rFonts w:ascii="仿宋" w:hAnsi="仿宋" w:eastAsia="仿宋" w:cs="仿宋"/>
          <w:color w:val="000000"/>
          <w:kern w:val="0"/>
          <w:sz w:val="32"/>
          <w:szCs w:val="32"/>
        </w:rPr>
        <w:t>10</w:t>
      </w:r>
      <w:r>
        <w:rPr>
          <w:rFonts w:hint="eastAsia" w:ascii="仿宋" w:hAnsi="仿宋" w:eastAsia="仿宋" w:cs="仿宋"/>
          <w:color w:val="000000"/>
          <w:kern w:val="0"/>
          <w:sz w:val="32"/>
          <w:szCs w:val="32"/>
        </w:rPr>
        <w:t>个编制</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事业和参公编制各</w:t>
      </w:r>
      <w:r>
        <w:rPr>
          <w:rFonts w:ascii="仿宋" w:hAnsi="仿宋" w:eastAsia="仿宋" w:cs="仿宋"/>
          <w:color w:val="000000"/>
          <w:kern w:val="0"/>
          <w:sz w:val="32"/>
          <w:szCs w:val="32"/>
        </w:rPr>
        <w:t>5</w:t>
      </w:r>
      <w:r>
        <w:rPr>
          <w:rFonts w:hint="eastAsia" w:ascii="仿宋" w:hAnsi="仿宋" w:eastAsia="仿宋" w:cs="仿宋"/>
          <w:color w:val="000000"/>
          <w:kern w:val="0"/>
          <w:sz w:val="32"/>
          <w:szCs w:val="32"/>
        </w:rPr>
        <w:t>个</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才可确保党校工作稳步向前发展。</w:t>
      </w:r>
    </w:p>
    <w:p>
      <w:pPr>
        <w:widowControl/>
        <w:adjustRightInd w:val="0"/>
        <w:snapToGrid w:val="0"/>
        <w:spacing w:line="560" w:lineRule="exac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2.</w:t>
      </w:r>
      <w:r>
        <w:rPr>
          <w:rFonts w:hint="eastAsia" w:ascii="仿宋" w:hAnsi="仿宋" w:eastAsia="仿宋" w:cs="仿宋"/>
          <w:color w:val="000000"/>
          <w:kern w:val="0"/>
          <w:sz w:val="32"/>
          <w:szCs w:val="32"/>
        </w:rPr>
        <w:t>造血功能急需要激活。</w:t>
      </w:r>
      <w:r>
        <w:rPr>
          <w:rFonts w:ascii="仿宋" w:hAnsi="仿宋" w:eastAsia="仿宋" w:cs="仿宋"/>
          <w:color w:val="000000"/>
          <w:kern w:val="0"/>
          <w:sz w:val="32"/>
          <w:szCs w:val="32"/>
        </w:rPr>
        <w:t>2025</w:t>
      </w:r>
      <w:r>
        <w:rPr>
          <w:rFonts w:hint="eastAsia" w:ascii="仿宋" w:hAnsi="仿宋" w:eastAsia="仿宋" w:cs="仿宋"/>
          <w:color w:val="000000"/>
          <w:kern w:val="0"/>
          <w:sz w:val="32"/>
          <w:szCs w:val="32"/>
        </w:rPr>
        <w:t>年将全面落实《基本培训》任务，办学规模扩大，学员急剧增加，学员住宿、生活、学习各项费用也是成倍增加，水电经费、物业管理费，更是一项费用新增的大头，党校是财政预算单位，按现“零基”预算市财政政策，要维持正常运转将很艰难。激活自身造血功能，实现自给自足已刻不容缓。</w:t>
      </w:r>
    </w:p>
    <w:p>
      <w:pPr>
        <w:widowControl/>
        <w:adjustRightInd w:val="0"/>
        <w:snapToGrid w:val="0"/>
        <w:spacing w:line="560" w:lineRule="exac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3.</w:t>
      </w:r>
      <w:r>
        <w:rPr>
          <w:rFonts w:hint="eastAsia" w:ascii="仿宋" w:hAnsi="仿宋" w:eastAsia="仿宋" w:cs="仿宋"/>
          <w:color w:val="000000"/>
          <w:kern w:val="0"/>
          <w:sz w:val="32"/>
          <w:szCs w:val="32"/>
        </w:rPr>
        <w:t>新质发展基石尚欠扎实。工程建设进度缓慢，虽然已经搬入新校区办公，但各项设施极不完善，一楼报告厅未完成装修、厕所及下水未全面疏通、校园规划未全面实施、围墙至今还没启动。这给下一步办公用品及设施设备采购带来严重影响，致使新校区全面交付使用日期难以确定。</w:t>
      </w:r>
    </w:p>
    <w:p>
      <w:pPr>
        <w:spacing w:line="592" w:lineRule="exact"/>
        <w:ind w:left="600" w:leftChars="200"/>
        <w:outlineLvl w:val="0"/>
        <w:rPr>
          <w:rFonts w:eastAsia="黑体"/>
          <w:sz w:val="32"/>
          <w:szCs w:val="32"/>
        </w:rPr>
      </w:pPr>
      <w:r>
        <w:rPr>
          <w:rFonts w:hint="eastAsia" w:eastAsia="黑体"/>
          <w:sz w:val="32"/>
          <w:szCs w:val="32"/>
        </w:rPr>
        <w:t>八、下一步改进措施</w:t>
      </w:r>
    </w:p>
    <w:p>
      <w:pPr>
        <w:widowControl/>
        <w:adjustRightInd w:val="0"/>
        <w:snapToGrid w:val="0"/>
        <w:spacing w:line="560" w:lineRule="exac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1.</w:t>
      </w:r>
      <w:r>
        <w:rPr>
          <w:rFonts w:hint="eastAsia" w:ascii="仿宋" w:hAnsi="仿宋" w:eastAsia="仿宋" w:cs="仿宋"/>
          <w:color w:val="000000"/>
          <w:kern w:val="0"/>
          <w:sz w:val="32"/>
          <w:szCs w:val="32"/>
        </w:rPr>
        <w:t>全面落实基本培训任务。贯彻好</w:t>
      </w:r>
      <w:r>
        <w:rPr>
          <w:rFonts w:ascii="仿宋" w:hAnsi="仿宋" w:eastAsia="仿宋" w:cs="仿宋"/>
          <w:color w:val="000000"/>
          <w:kern w:val="0"/>
          <w:sz w:val="32"/>
          <w:szCs w:val="32"/>
        </w:rPr>
        <w:t>4</w:t>
      </w:r>
      <w:r>
        <w:rPr>
          <w:rFonts w:hint="eastAsia" w:ascii="仿宋" w:hAnsi="仿宋" w:eastAsia="仿宋" w:cs="仿宋"/>
          <w:color w:val="000000"/>
          <w:kern w:val="0"/>
          <w:sz w:val="32"/>
          <w:szCs w:val="32"/>
        </w:rPr>
        <w:t>月</w:t>
      </w:r>
      <w:r>
        <w:rPr>
          <w:rFonts w:ascii="仿宋" w:hAnsi="仿宋" w:eastAsia="仿宋" w:cs="仿宋"/>
          <w:color w:val="000000"/>
          <w:kern w:val="0"/>
          <w:sz w:val="32"/>
          <w:szCs w:val="32"/>
        </w:rPr>
        <w:t>26</w:t>
      </w:r>
      <w:r>
        <w:rPr>
          <w:rFonts w:hint="eastAsia" w:ascii="仿宋" w:hAnsi="仿宋" w:eastAsia="仿宋" w:cs="仿宋"/>
          <w:color w:val="000000"/>
          <w:kern w:val="0"/>
          <w:sz w:val="32"/>
          <w:szCs w:val="32"/>
        </w:rPr>
        <w:t>日省委常委会议专题研究党校工作时晓明书记提出的“强化数字赋能，完善网络培训制度”、李殿勋副书记以及中央党校校长（院长）李希关于对基本培训的指示精神，以基本培训为重点和重要牵引，完成</w:t>
      </w:r>
      <w:r>
        <w:rPr>
          <w:rFonts w:ascii="仿宋" w:hAnsi="仿宋" w:eastAsia="仿宋" w:cs="仿宋"/>
          <w:color w:val="000000"/>
          <w:kern w:val="0"/>
          <w:sz w:val="32"/>
          <w:szCs w:val="32"/>
        </w:rPr>
        <w:t>11</w:t>
      </w:r>
      <w:r>
        <w:rPr>
          <w:rFonts w:hint="eastAsia" w:ascii="仿宋" w:hAnsi="仿宋" w:eastAsia="仿宋" w:cs="仿宋"/>
          <w:color w:val="000000"/>
          <w:kern w:val="0"/>
          <w:sz w:val="32"/>
          <w:szCs w:val="32"/>
        </w:rPr>
        <w:t>个班次、</w:t>
      </w:r>
      <w:r>
        <w:rPr>
          <w:rFonts w:ascii="仿宋" w:hAnsi="仿宋" w:eastAsia="仿宋" w:cs="仿宋"/>
          <w:color w:val="000000"/>
          <w:kern w:val="0"/>
          <w:sz w:val="32"/>
          <w:szCs w:val="32"/>
        </w:rPr>
        <w:t>1100</w:t>
      </w:r>
      <w:r>
        <w:rPr>
          <w:rFonts w:hint="eastAsia" w:ascii="仿宋" w:hAnsi="仿宋" w:eastAsia="仿宋" w:cs="仿宋"/>
          <w:color w:val="000000"/>
          <w:kern w:val="0"/>
          <w:sz w:val="32"/>
          <w:szCs w:val="32"/>
        </w:rPr>
        <w:t>人的大规模培训，实现学员全程住校培训，脱产进修。持续提高干部教育培训的质量和效率，加快“三库两网两平台”建设，加强“智慧校园”“智慧课堂”建设，推进网络平台、网络课程同步建设，实现干部教育培训供给能力大跨度飞跃，构建全省“一盘棋”“一张网”的一体化数字空间格局。</w:t>
      </w:r>
    </w:p>
    <w:p>
      <w:pPr>
        <w:widowControl/>
        <w:adjustRightInd w:val="0"/>
        <w:snapToGrid w:val="0"/>
        <w:spacing w:line="560" w:lineRule="exac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2.</w:t>
      </w:r>
      <w:r>
        <w:rPr>
          <w:rFonts w:hint="eastAsia" w:ascii="仿宋" w:hAnsi="仿宋" w:eastAsia="仿宋" w:cs="仿宋"/>
          <w:color w:val="000000"/>
          <w:kern w:val="0"/>
          <w:sz w:val="32"/>
          <w:szCs w:val="32"/>
        </w:rPr>
        <w:t>抓好党校知识迭代工作。按照干部基本培训要求，抓好师资队伍的增强知识储备、优化知识结构、加快知识更新的工作，讲全讲准讲深讲透习近平新时代中国特色社会主义思想科学体系的完整性和理论贡献的原创性，充分运用“三库两网两平台”，努力做到学术研究“见底、科研成果“冒尖”，政策建议“足金”。</w:t>
      </w:r>
    </w:p>
    <w:p>
      <w:pPr>
        <w:widowControl/>
        <w:adjustRightInd w:val="0"/>
        <w:snapToGrid w:val="0"/>
        <w:spacing w:line="560" w:lineRule="exac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3.</w:t>
      </w:r>
      <w:r>
        <w:rPr>
          <w:rFonts w:hint="eastAsia" w:ascii="仿宋" w:hAnsi="仿宋" w:eastAsia="仿宋" w:cs="仿宋"/>
          <w:color w:val="000000"/>
          <w:kern w:val="0"/>
          <w:sz w:val="32"/>
          <w:szCs w:val="32"/>
        </w:rPr>
        <w:t>提升现代化建设能力。为满足基本培训条件下的人才队伍建设需要，分两步优化师资队伍，壮大现代化建设力量。首先通过公开招考，计划招聘</w:t>
      </w:r>
      <w:r>
        <w:rPr>
          <w:rFonts w:ascii="仿宋" w:hAnsi="仿宋" w:eastAsia="仿宋" w:cs="仿宋"/>
          <w:color w:val="000000"/>
          <w:kern w:val="0"/>
          <w:sz w:val="32"/>
          <w:szCs w:val="32"/>
        </w:rPr>
        <w:t>1</w:t>
      </w:r>
      <w:r>
        <w:rPr>
          <w:rFonts w:hint="eastAsia" w:ascii="仿宋" w:hAnsi="仿宋" w:eastAsia="仿宋" w:cs="仿宋"/>
          <w:color w:val="000000"/>
          <w:kern w:val="0"/>
          <w:sz w:val="32"/>
          <w:szCs w:val="32"/>
        </w:rPr>
        <w:t>人，其次争取市委政府重视，按照湖南省《县级党校（行政学校）办学质量评估》标准，扩编</w:t>
      </w:r>
      <w:r>
        <w:rPr>
          <w:rFonts w:ascii="仿宋" w:hAnsi="仿宋" w:eastAsia="仿宋" w:cs="仿宋"/>
          <w:color w:val="000000"/>
          <w:kern w:val="0"/>
          <w:sz w:val="32"/>
          <w:szCs w:val="32"/>
        </w:rPr>
        <w:t>10</w:t>
      </w:r>
      <w:r>
        <w:rPr>
          <w:rFonts w:hint="eastAsia" w:ascii="仿宋" w:hAnsi="仿宋" w:eastAsia="仿宋" w:cs="仿宋"/>
          <w:color w:val="000000"/>
          <w:kern w:val="0"/>
          <w:sz w:val="32"/>
          <w:szCs w:val="32"/>
        </w:rPr>
        <w:t>人。以需求为牵引，以提升专职师资队伍培训为重点，充分运用咨政调研和“三库两网两平台”“智慧校园”等载体，通过教育培训、实践锻炼等途径全面提升师资水平，全面提升人才队伍现代化建设能力。</w:t>
      </w:r>
    </w:p>
    <w:p>
      <w:pPr>
        <w:widowControl/>
        <w:adjustRightInd w:val="0"/>
        <w:snapToGrid w:val="0"/>
        <w:spacing w:line="560" w:lineRule="exac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4.</w:t>
      </w:r>
      <w:r>
        <w:rPr>
          <w:rFonts w:hint="eastAsia" w:ascii="仿宋" w:hAnsi="仿宋" w:eastAsia="仿宋" w:cs="仿宋"/>
          <w:color w:val="000000"/>
          <w:kern w:val="0"/>
          <w:sz w:val="32"/>
          <w:szCs w:val="32"/>
        </w:rPr>
        <w:t>发挥党校平台优势。异地教学办出特色，选择常宁具有代表性和教育意义的异地教学地点。通过现场教学、专题讲座、案例分析、交流研讨等多种形式，使外来学员能够深入了解常宁的历史文化、发展经验和创新实践。深入宣传常宁经济发展大势、优势、特势，全面树立常宁品牌，为常宁经济发展贡献党校力量。落实全市规模以上会议、培训归口党校工作，以优质的服务，为激发党校内生动力和造血功能打好基础。为实现常宁市委党校第一年强基、第二年提质、第三年达标的“三年打造全省一流县级党校”目标而奋斗。</w:t>
      </w:r>
    </w:p>
    <w:p>
      <w:pPr>
        <w:spacing w:line="592" w:lineRule="exact"/>
        <w:ind w:firstLine="640" w:firstLineChars="200"/>
        <w:outlineLvl w:val="0"/>
        <w:rPr>
          <w:rFonts w:eastAsia="黑体"/>
          <w:sz w:val="32"/>
          <w:szCs w:val="32"/>
        </w:rPr>
      </w:pPr>
      <w:r>
        <w:rPr>
          <w:rFonts w:hint="eastAsia" w:eastAsia="黑体"/>
          <w:sz w:val="32"/>
          <w:szCs w:val="32"/>
        </w:rPr>
        <w:t>九、其他需要说明的情况</w:t>
      </w:r>
    </w:p>
    <w:p>
      <w:pPr>
        <w:widowControl/>
        <w:adjustRightInd w:val="0"/>
        <w:snapToGrid w:val="0"/>
        <w:spacing w:line="56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无</w:t>
      </w:r>
    </w:p>
    <w:p>
      <w:pPr>
        <w:widowControl/>
        <w:adjustRightInd w:val="0"/>
        <w:snapToGrid w:val="0"/>
        <w:spacing w:line="560" w:lineRule="exact"/>
        <w:ind w:firstLine="640" w:firstLineChars="200"/>
        <w:jc w:val="left"/>
        <w:rPr>
          <w:rFonts w:ascii="仿宋" w:hAnsi="仿宋" w:eastAsia="仿宋" w:cs="仿宋"/>
          <w:color w:val="000000"/>
          <w:kern w:val="0"/>
          <w:sz w:val="32"/>
          <w:szCs w:val="32"/>
        </w:rPr>
      </w:pPr>
    </w:p>
    <w:p>
      <w:pPr>
        <w:widowControl/>
        <w:adjustRightInd w:val="0"/>
        <w:snapToGrid w:val="0"/>
        <w:spacing w:line="560" w:lineRule="exact"/>
        <w:ind w:firstLine="640" w:firstLineChars="200"/>
        <w:jc w:val="left"/>
        <w:rPr>
          <w:rFonts w:ascii="仿宋" w:hAnsi="仿宋" w:eastAsia="仿宋" w:cs="仿宋"/>
          <w:color w:val="000000"/>
          <w:kern w:val="0"/>
          <w:sz w:val="32"/>
          <w:szCs w:val="32"/>
        </w:rPr>
      </w:pPr>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 w:name="Arial">
    <w:panose1 w:val="020B0604020202020204"/>
    <w:charset w:val="00"/>
    <w:family w:val="swiss"/>
    <w:pitch w:val="default"/>
    <w:sig w:usb0="00007A87" w:usb1="80000000" w:usb2="00000008" w:usb3="00000000" w:csb0="400001FF" w:csb1="FFFF0000"/>
  </w:font>
  <w:font w:name="方正仿宋_GB2312">
    <w:altName w:val="仿宋"/>
    <w:panose1 w:val="00000000000000000000"/>
    <w:charset w:val="86"/>
    <w:family w:val="auto"/>
    <w:pitch w:val="default"/>
    <w:sig w:usb0="00000000" w:usb1="00000000" w:usb2="00000010" w:usb3="00000000" w:csb0="00040000" w:csb1="00000000"/>
  </w:font>
  <w:font w:name="等线">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6804B6"/>
    <w:multiLevelType w:val="singleLevel"/>
    <w:tmpl w:val="CE6804B6"/>
    <w:lvl w:ilvl="0" w:tentative="0">
      <w:start w:val="3"/>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0"/>
  <w:defaultTabStop w:val="420"/>
  <w:drawingGridHorizontalSpacing w:val="150"/>
  <w:drawingGridVerticalSpacing w:val="58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VmOWM0MDg5MmM3OTVkZTBjMjNlNDA3OTk4MGI0MjQifQ=="/>
  </w:docVars>
  <w:rsids>
    <w:rsidRoot w:val="00F57F82"/>
    <w:rsid w:val="000101E1"/>
    <w:rsid w:val="00014E05"/>
    <w:rsid w:val="000732DA"/>
    <w:rsid w:val="00075CDC"/>
    <w:rsid w:val="000B1E8F"/>
    <w:rsid w:val="000B6964"/>
    <w:rsid w:val="000D74DD"/>
    <w:rsid w:val="00103D16"/>
    <w:rsid w:val="00111638"/>
    <w:rsid w:val="00111928"/>
    <w:rsid w:val="0012041C"/>
    <w:rsid w:val="00164D84"/>
    <w:rsid w:val="00173016"/>
    <w:rsid w:val="0017509C"/>
    <w:rsid w:val="001808CA"/>
    <w:rsid w:val="001A4E46"/>
    <w:rsid w:val="001C2D60"/>
    <w:rsid w:val="001E03FE"/>
    <w:rsid w:val="002123E8"/>
    <w:rsid w:val="00250053"/>
    <w:rsid w:val="0029569C"/>
    <w:rsid w:val="002A5FA7"/>
    <w:rsid w:val="002B3EEF"/>
    <w:rsid w:val="002B54E4"/>
    <w:rsid w:val="002C2557"/>
    <w:rsid w:val="002E5562"/>
    <w:rsid w:val="002F6705"/>
    <w:rsid w:val="00301FC0"/>
    <w:rsid w:val="00336A16"/>
    <w:rsid w:val="003663A3"/>
    <w:rsid w:val="00387DD5"/>
    <w:rsid w:val="003B0980"/>
    <w:rsid w:val="003C6374"/>
    <w:rsid w:val="003C70F1"/>
    <w:rsid w:val="003D2CB9"/>
    <w:rsid w:val="00413F12"/>
    <w:rsid w:val="0048585D"/>
    <w:rsid w:val="00487B9D"/>
    <w:rsid w:val="00493012"/>
    <w:rsid w:val="004D2137"/>
    <w:rsid w:val="005D1514"/>
    <w:rsid w:val="005D7CC3"/>
    <w:rsid w:val="006218A1"/>
    <w:rsid w:val="00682A10"/>
    <w:rsid w:val="006A30E4"/>
    <w:rsid w:val="006A74BF"/>
    <w:rsid w:val="006C1CEE"/>
    <w:rsid w:val="006D30B3"/>
    <w:rsid w:val="006D5A86"/>
    <w:rsid w:val="00707C2E"/>
    <w:rsid w:val="00722A7D"/>
    <w:rsid w:val="00724A6B"/>
    <w:rsid w:val="0073331B"/>
    <w:rsid w:val="00733C2D"/>
    <w:rsid w:val="00756C7F"/>
    <w:rsid w:val="00760106"/>
    <w:rsid w:val="007D7E6E"/>
    <w:rsid w:val="00850797"/>
    <w:rsid w:val="00853FC4"/>
    <w:rsid w:val="008720F1"/>
    <w:rsid w:val="00882EFA"/>
    <w:rsid w:val="008A3578"/>
    <w:rsid w:val="008B2F56"/>
    <w:rsid w:val="008F0996"/>
    <w:rsid w:val="00903791"/>
    <w:rsid w:val="009600BD"/>
    <w:rsid w:val="00961C83"/>
    <w:rsid w:val="009922BC"/>
    <w:rsid w:val="009A1AF7"/>
    <w:rsid w:val="009E0D8C"/>
    <w:rsid w:val="00A02AF3"/>
    <w:rsid w:val="00A25077"/>
    <w:rsid w:val="00A610CC"/>
    <w:rsid w:val="00A8737E"/>
    <w:rsid w:val="00A90AEE"/>
    <w:rsid w:val="00AA19AF"/>
    <w:rsid w:val="00BC6882"/>
    <w:rsid w:val="00BD3FE0"/>
    <w:rsid w:val="00BE58CF"/>
    <w:rsid w:val="00C17704"/>
    <w:rsid w:val="00CA5578"/>
    <w:rsid w:val="00CA7DAA"/>
    <w:rsid w:val="00D04826"/>
    <w:rsid w:val="00D63908"/>
    <w:rsid w:val="00D8718A"/>
    <w:rsid w:val="00D93453"/>
    <w:rsid w:val="00DC524D"/>
    <w:rsid w:val="00DF3633"/>
    <w:rsid w:val="00E071D6"/>
    <w:rsid w:val="00E74EF1"/>
    <w:rsid w:val="00ED3E0F"/>
    <w:rsid w:val="00F015E4"/>
    <w:rsid w:val="00F57F82"/>
    <w:rsid w:val="00F75224"/>
    <w:rsid w:val="00F91EAE"/>
    <w:rsid w:val="00FA086C"/>
    <w:rsid w:val="00FA2093"/>
    <w:rsid w:val="00FA357A"/>
    <w:rsid w:val="01BB3CD7"/>
    <w:rsid w:val="02E579CC"/>
    <w:rsid w:val="02E81CE7"/>
    <w:rsid w:val="037D0BC8"/>
    <w:rsid w:val="0435689D"/>
    <w:rsid w:val="04611352"/>
    <w:rsid w:val="07912815"/>
    <w:rsid w:val="07E81E49"/>
    <w:rsid w:val="0845082D"/>
    <w:rsid w:val="09874053"/>
    <w:rsid w:val="09880D74"/>
    <w:rsid w:val="09D23567"/>
    <w:rsid w:val="09E965F2"/>
    <w:rsid w:val="0C607954"/>
    <w:rsid w:val="0CA92B77"/>
    <w:rsid w:val="0D8B4137"/>
    <w:rsid w:val="0E0D231C"/>
    <w:rsid w:val="0FF7AA4F"/>
    <w:rsid w:val="10A13F42"/>
    <w:rsid w:val="139840D3"/>
    <w:rsid w:val="13CD6931"/>
    <w:rsid w:val="143E091F"/>
    <w:rsid w:val="14865FC8"/>
    <w:rsid w:val="14ED01F3"/>
    <w:rsid w:val="150C2DB0"/>
    <w:rsid w:val="15A24B3A"/>
    <w:rsid w:val="16474597"/>
    <w:rsid w:val="164858C9"/>
    <w:rsid w:val="16B56095"/>
    <w:rsid w:val="195C3819"/>
    <w:rsid w:val="19A5109C"/>
    <w:rsid w:val="1A7D29EA"/>
    <w:rsid w:val="1B140288"/>
    <w:rsid w:val="1CD20272"/>
    <w:rsid w:val="1D994BCF"/>
    <w:rsid w:val="1E136CA9"/>
    <w:rsid w:val="1E761F05"/>
    <w:rsid w:val="1E7F4AC3"/>
    <w:rsid w:val="1EF63B7C"/>
    <w:rsid w:val="1F7BE1E6"/>
    <w:rsid w:val="1FC7205C"/>
    <w:rsid w:val="21A95490"/>
    <w:rsid w:val="226A3F05"/>
    <w:rsid w:val="228B3D05"/>
    <w:rsid w:val="24E820E9"/>
    <w:rsid w:val="253E2D60"/>
    <w:rsid w:val="259B27F9"/>
    <w:rsid w:val="26323CB8"/>
    <w:rsid w:val="264A5902"/>
    <w:rsid w:val="279F537D"/>
    <w:rsid w:val="284E74F8"/>
    <w:rsid w:val="28F821AF"/>
    <w:rsid w:val="29263F95"/>
    <w:rsid w:val="297023C7"/>
    <w:rsid w:val="29957332"/>
    <w:rsid w:val="299D3B3E"/>
    <w:rsid w:val="29D55203"/>
    <w:rsid w:val="2ADB48E8"/>
    <w:rsid w:val="2C583D4C"/>
    <w:rsid w:val="3076553A"/>
    <w:rsid w:val="3150593A"/>
    <w:rsid w:val="32F45F92"/>
    <w:rsid w:val="343F23BC"/>
    <w:rsid w:val="36687282"/>
    <w:rsid w:val="367793B2"/>
    <w:rsid w:val="369B0C8F"/>
    <w:rsid w:val="36B654BB"/>
    <w:rsid w:val="374A2DA6"/>
    <w:rsid w:val="37757EA8"/>
    <w:rsid w:val="3794FC37"/>
    <w:rsid w:val="37EB1F18"/>
    <w:rsid w:val="385D37E7"/>
    <w:rsid w:val="38EF7AD8"/>
    <w:rsid w:val="39BC591B"/>
    <w:rsid w:val="3A920CB4"/>
    <w:rsid w:val="3E1672E6"/>
    <w:rsid w:val="3E535974"/>
    <w:rsid w:val="3EB9C2BB"/>
    <w:rsid w:val="3F3266CA"/>
    <w:rsid w:val="3F533D76"/>
    <w:rsid w:val="3F5C34BC"/>
    <w:rsid w:val="3FCF203E"/>
    <w:rsid w:val="3FEF6A07"/>
    <w:rsid w:val="415F08D8"/>
    <w:rsid w:val="41723177"/>
    <w:rsid w:val="426C6A3B"/>
    <w:rsid w:val="42B4482C"/>
    <w:rsid w:val="44E2230F"/>
    <w:rsid w:val="47010072"/>
    <w:rsid w:val="478B1022"/>
    <w:rsid w:val="47C72DCF"/>
    <w:rsid w:val="48B51347"/>
    <w:rsid w:val="491B45FA"/>
    <w:rsid w:val="495D761D"/>
    <w:rsid w:val="4A55216A"/>
    <w:rsid w:val="4C5B5467"/>
    <w:rsid w:val="4FE0696A"/>
    <w:rsid w:val="500C4CE2"/>
    <w:rsid w:val="50747F96"/>
    <w:rsid w:val="518111A4"/>
    <w:rsid w:val="52A71CFB"/>
    <w:rsid w:val="52B521DF"/>
    <w:rsid w:val="5330617C"/>
    <w:rsid w:val="546F8569"/>
    <w:rsid w:val="55673508"/>
    <w:rsid w:val="573B502A"/>
    <w:rsid w:val="57790E65"/>
    <w:rsid w:val="59095571"/>
    <w:rsid w:val="59595A6F"/>
    <w:rsid w:val="596E5CC6"/>
    <w:rsid w:val="597350B8"/>
    <w:rsid w:val="5975743C"/>
    <w:rsid w:val="599330CA"/>
    <w:rsid w:val="5A5A108A"/>
    <w:rsid w:val="5A7FCB1F"/>
    <w:rsid w:val="5B7D4764"/>
    <w:rsid w:val="5D4D4B30"/>
    <w:rsid w:val="5E4853B5"/>
    <w:rsid w:val="5EC55836"/>
    <w:rsid w:val="5F4A4555"/>
    <w:rsid w:val="5FEAF7C9"/>
    <w:rsid w:val="604069F6"/>
    <w:rsid w:val="60CB36B3"/>
    <w:rsid w:val="60D5009F"/>
    <w:rsid w:val="633E16F6"/>
    <w:rsid w:val="64AC2E11"/>
    <w:rsid w:val="65D07A17"/>
    <w:rsid w:val="660721C9"/>
    <w:rsid w:val="661E6C75"/>
    <w:rsid w:val="668A4527"/>
    <w:rsid w:val="67B13B2C"/>
    <w:rsid w:val="67F75FF5"/>
    <w:rsid w:val="681D4831"/>
    <w:rsid w:val="68525518"/>
    <w:rsid w:val="692E4B19"/>
    <w:rsid w:val="69513EF7"/>
    <w:rsid w:val="6BF3256F"/>
    <w:rsid w:val="6BF95985"/>
    <w:rsid w:val="6C5C2C43"/>
    <w:rsid w:val="6CE7018A"/>
    <w:rsid w:val="6D094CC7"/>
    <w:rsid w:val="6D09731B"/>
    <w:rsid w:val="6E3E3F2D"/>
    <w:rsid w:val="6EAA487D"/>
    <w:rsid w:val="6F082DD5"/>
    <w:rsid w:val="6F782E18"/>
    <w:rsid w:val="6F7B6738"/>
    <w:rsid w:val="712A5EF5"/>
    <w:rsid w:val="715B2F02"/>
    <w:rsid w:val="71A73FED"/>
    <w:rsid w:val="72B95B93"/>
    <w:rsid w:val="73802858"/>
    <w:rsid w:val="74CC6CCE"/>
    <w:rsid w:val="76A548F2"/>
    <w:rsid w:val="7765772E"/>
    <w:rsid w:val="776F5E62"/>
    <w:rsid w:val="77867685"/>
    <w:rsid w:val="77951FBF"/>
    <w:rsid w:val="77EE7FE7"/>
    <w:rsid w:val="781F36B6"/>
    <w:rsid w:val="790627AD"/>
    <w:rsid w:val="79DFF8C4"/>
    <w:rsid w:val="79F1701B"/>
    <w:rsid w:val="7A301431"/>
    <w:rsid w:val="7ADC59FA"/>
    <w:rsid w:val="7AFF2FC3"/>
    <w:rsid w:val="7B431629"/>
    <w:rsid w:val="7B7A77E1"/>
    <w:rsid w:val="7BF6B4C5"/>
    <w:rsid w:val="7C625FE7"/>
    <w:rsid w:val="7D324F38"/>
    <w:rsid w:val="7D94764A"/>
    <w:rsid w:val="7DDD794F"/>
    <w:rsid w:val="7DFA6624"/>
    <w:rsid w:val="7DFD8AD7"/>
    <w:rsid w:val="7DFEFB95"/>
    <w:rsid w:val="7ECD6B9A"/>
    <w:rsid w:val="7FBA576D"/>
    <w:rsid w:val="7FDE47D5"/>
    <w:rsid w:val="7FFD003D"/>
    <w:rsid w:val="94BFC172"/>
    <w:rsid w:val="9BFA614C"/>
    <w:rsid w:val="BAFE1E17"/>
    <w:rsid w:val="BBDF5B5A"/>
    <w:rsid w:val="BBE428C2"/>
    <w:rsid w:val="BFBF52D7"/>
    <w:rsid w:val="DF6E82F1"/>
    <w:rsid w:val="DFCEE0CE"/>
    <w:rsid w:val="DFFF7077"/>
    <w:rsid w:val="EEBF76D9"/>
    <w:rsid w:val="F36EF6AC"/>
    <w:rsid w:val="F6FDCC0E"/>
    <w:rsid w:val="F767D450"/>
    <w:rsid w:val="F76FB1DB"/>
    <w:rsid w:val="F7FBEBBF"/>
    <w:rsid w:val="F9F3FBF0"/>
    <w:rsid w:val="FB9F8FA2"/>
    <w:rsid w:val="FDB5389F"/>
    <w:rsid w:val="FFAFB80B"/>
    <w:rsid w:val="FFF9F86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3">
    <w:name w:val="heading 1"/>
    <w:basedOn w:val="1"/>
    <w:next w:val="1"/>
    <w:link w:val="17"/>
    <w:qFormat/>
    <w:uiPriority w:val="99"/>
    <w:pPr>
      <w:keepNext/>
      <w:keepLines/>
      <w:spacing w:before="340" w:after="330" w:line="578" w:lineRule="atLeast"/>
      <w:outlineLvl w:val="0"/>
    </w:pPr>
    <w:rPr>
      <w:b/>
      <w:bCs/>
      <w:kern w:val="44"/>
      <w:sz w:val="44"/>
      <w:szCs w:val="44"/>
    </w:rPr>
  </w:style>
  <w:style w:type="paragraph" w:styleId="4">
    <w:name w:val="heading 2"/>
    <w:basedOn w:val="1"/>
    <w:next w:val="5"/>
    <w:link w:val="18"/>
    <w:qFormat/>
    <w:uiPriority w:val="99"/>
    <w:pPr>
      <w:spacing w:before="100" w:beforeAutospacing="1" w:after="100" w:afterAutospacing="1"/>
      <w:jc w:val="left"/>
      <w:outlineLvl w:val="1"/>
    </w:pPr>
    <w:rPr>
      <w:rFonts w:ascii="宋体" w:hAnsi="宋体" w:eastAsia="宋体"/>
      <w:b/>
      <w:kern w:val="0"/>
      <w:sz w:val="36"/>
      <w:szCs w:val="36"/>
    </w:rPr>
  </w:style>
  <w:style w:type="character" w:default="1" w:styleId="14">
    <w:name w:val="Default Paragraph Font"/>
    <w:semiHidden/>
    <w:uiPriority w:val="99"/>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标4"/>
    <w:basedOn w:val="1"/>
    <w:uiPriority w:val="99"/>
    <w:pPr>
      <w:adjustRightInd w:val="0"/>
      <w:spacing w:before="240" w:after="360" w:line="240" w:lineRule="exact"/>
      <w:outlineLvl w:val="3"/>
    </w:pPr>
    <w:rPr>
      <w:rFonts w:ascii="Arial" w:hAnsi="Arial" w:cs="Arial"/>
      <w:b/>
      <w:bCs/>
      <w:kern w:val="24"/>
    </w:rPr>
  </w:style>
  <w:style w:type="paragraph" w:styleId="5">
    <w:name w:val="Normal Indent"/>
    <w:basedOn w:val="1"/>
    <w:qFormat/>
    <w:uiPriority w:val="99"/>
    <w:pPr>
      <w:ind w:firstLine="880" w:firstLineChars="200"/>
    </w:pPr>
  </w:style>
  <w:style w:type="paragraph" w:styleId="6">
    <w:name w:val="Body Text"/>
    <w:basedOn w:val="1"/>
    <w:link w:val="19"/>
    <w:uiPriority w:val="99"/>
    <w:rPr>
      <w:sz w:val="32"/>
      <w:szCs w:val="20"/>
    </w:rPr>
  </w:style>
  <w:style w:type="paragraph" w:styleId="7">
    <w:name w:val="Body Text Indent"/>
    <w:basedOn w:val="1"/>
    <w:link w:val="20"/>
    <w:qFormat/>
    <w:uiPriority w:val="99"/>
    <w:pPr>
      <w:spacing w:after="120"/>
      <w:ind w:left="420" w:leftChars="200"/>
    </w:pPr>
  </w:style>
  <w:style w:type="paragraph" w:styleId="8">
    <w:name w:val="Balloon Text"/>
    <w:basedOn w:val="1"/>
    <w:link w:val="21"/>
    <w:uiPriority w:val="99"/>
    <w:rPr>
      <w:sz w:val="18"/>
      <w:szCs w:val="18"/>
    </w:rPr>
  </w:style>
  <w:style w:type="paragraph" w:styleId="9">
    <w:name w:val="footer"/>
    <w:basedOn w:val="1"/>
    <w:next w:val="1"/>
    <w:link w:val="22"/>
    <w:uiPriority w:val="99"/>
    <w:pPr>
      <w:tabs>
        <w:tab w:val="center" w:pos="4153"/>
        <w:tab w:val="right" w:pos="8306"/>
      </w:tabs>
      <w:snapToGrid w:val="0"/>
      <w:jc w:val="left"/>
    </w:pPr>
    <w:rPr>
      <w:sz w:val="18"/>
      <w:szCs w:val="18"/>
    </w:rPr>
  </w:style>
  <w:style w:type="paragraph" w:styleId="10">
    <w:name w:val="header"/>
    <w:basedOn w:val="1"/>
    <w:link w:val="23"/>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iPriority w:val="99"/>
    <w:pPr>
      <w:spacing w:beforeAutospacing="1" w:afterAutospacing="1"/>
      <w:jc w:val="left"/>
    </w:pPr>
    <w:rPr>
      <w:kern w:val="0"/>
      <w:sz w:val="24"/>
    </w:rPr>
  </w:style>
  <w:style w:type="paragraph" w:styleId="12">
    <w:name w:val="Body Text First Indent 2"/>
    <w:basedOn w:val="7"/>
    <w:next w:val="1"/>
    <w:link w:val="24"/>
    <w:uiPriority w:val="99"/>
    <w:pPr>
      <w:spacing w:before="100" w:beforeAutospacing="1" w:after="0"/>
      <w:ind w:left="0" w:firstLine="420" w:firstLineChars="200"/>
    </w:pPr>
    <w:rPr>
      <w:rFonts w:ascii="Calibri" w:hAnsi="Calibri"/>
    </w:rPr>
  </w:style>
  <w:style w:type="character" w:styleId="15">
    <w:name w:val="Strong"/>
    <w:basedOn w:val="14"/>
    <w:qFormat/>
    <w:uiPriority w:val="99"/>
    <w:rPr>
      <w:rFonts w:cs="Times New Roman"/>
      <w:b/>
    </w:rPr>
  </w:style>
  <w:style w:type="character" w:styleId="16">
    <w:name w:val="Emphasis"/>
    <w:basedOn w:val="14"/>
    <w:qFormat/>
    <w:uiPriority w:val="99"/>
    <w:rPr>
      <w:rFonts w:cs="Times New Roman"/>
      <w:i/>
    </w:rPr>
  </w:style>
  <w:style w:type="character" w:customStyle="1" w:styleId="17">
    <w:name w:val="Heading 1 Char"/>
    <w:basedOn w:val="14"/>
    <w:link w:val="3"/>
    <w:uiPriority w:val="9"/>
    <w:rPr>
      <w:rFonts w:ascii="Times New Roman" w:hAnsi="Times New Roman" w:eastAsia="仿宋_GB2312"/>
      <w:b/>
      <w:bCs/>
      <w:kern w:val="44"/>
      <w:sz w:val="44"/>
      <w:szCs w:val="44"/>
    </w:rPr>
  </w:style>
  <w:style w:type="character" w:customStyle="1" w:styleId="18">
    <w:name w:val="Heading 2 Char"/>
    <w:basedOn w:val="14"/>
    <w:link w:val="4"/>
    <w:semiHidden/>
    <w:uiPriority w:val="9"/>
    <w:rPr>
      <w:rFonts w:asciiTheme="majorHAnsi" w:hAnsiTheme="majorHAnsi" w:eastAsiaTheme="majorEastAsia" w:cstheme="majorBidi"/>
      <w:b/>
      <w:bCs/>
      <w:sz w:val="32"/>
      <w:szCs w:val="32"/>
    </w:rPr>
  </w:style>
  <w:style w:type="character" w:customStyle="1" w:styleId="19">
    <w:name w:val="Body Text Char"/>
    <w:basedOn w:val="14"/>
    <w:link w:val="6"/>
    <w:semiHidden/>
    <w:uiPriority w:val="99"/>
    <w:rPr>
      <w:rFonts w:ascii="Times New Roman" w:hAnsi="Times New Roman" w:eastAsia="仿宋_GB2312"/>
      <w:sz w:val="30"/>
      <w:szCs w:val="24"/>
    </w:rPr>
  </w:style>
  <w:style w:type="character" w:customStyle="1" w:styleId="20">
    <w:name w:val="Body Text Indent Char"/>
    <w:basedOn w:val="14"/>
    <w:link w:val="7"/>
    <w:semiHidden/>
    <w:uiPriority w:val="99"/>
    <w:rPr>
      <w:rFonts w:ascii="Times New Roman" w:hAnsi="Times New Roman" w:eastAsia="仿宋_GB2312"/>
      <w:sz w:val="30"/>
      <w:szCs w:val="24"/>
    </w:rPr>
  </w:style>
  <w:style w:type="character" w:customStyle="1" w:styleId="21">
    <w:name w:val="Balloon Text Char"/>
    <w:basedOn w:val="14"/>
    <w:link w:val="8"/>
    <w:locked/>
    <w:uiPriority w:val="99"/>
    <w:rPr>
      <w:rFonts w:eastAsia="仿宋_GB2312" w:cs="Times New Roman"/>
      <w:kern w:val="2"/>
      <w:sz w:val="18"/>
      <w:szCs w:val="18"/>
    </w:rPr>
  </w:style>
  <w:style w:type="character" w:customStyle="1" w:styleId="22">
    <w:name w:val="Footer Char"/>
    <w:basedOn w:val="14"/>
    <w:link w:val="9"/>
    <w:locked/>
    <w:uiPriority w:val="99"/>
    <w:rPr>
      <w:rFonts w:eastAsia="仿宋_GB2312" w:cs="Times New Roman"/>
      <w:kern w:val="2"/>
      <w:sz w:val="18"/>
      <w:szCs w:val="18"/>
    </w:rPr>
  </w:style>
  <w:style w:type="character" w:customStyle="1" w:styleId="23">
    <w:name w:val="Header Char"/>
    <w:basedOn w:val="14"/>
    <w:link w:val="10"/>
    <w:locked/>
    <w:uiPriority w:val="99"/>
    <w:rPr>
      <w:rFonts w:eastAsia="仿宋_GB2312" w:cs="Times New Roman"/>
      <w:kern w:val="2"/>
      <w:sz w:val="18"/>
      <w:szCs w:val="18"/>
    </w:rPr>
  </w:style>
  <w:style w:type="character" w:customStyle="1" w:styleId="24">
    <w:name w:val="Body Text First Indent 2 Char"/>
    <w:basedOn w:val="20"/>
    <w:link w:val="12"/>
    <w:semiHidden/>
    <w:uiPriority w:val="99"/>
  </w:style>
  <w:style w:type="character" w:customStyle="1" w:styleId="25">
    <w:name w:val="font41"/>
    <w:basedOn w:val="14"/>
    <w:uiPriority w:val="99"/>
    <w:rPr>
      <w:rFonts w:ascii="方正仿宋_GB2312" w:hAnsi="方正仿宋_GB2312" w:eastAsia="方正仿宋_GB2312" w:cs="方正仿宋_GB2312"/>
      <w:color w:val="000000"/>
      <w:sz w:val="21"/>
      <w:szCs w:val="21"/>
      <w:u w:val="none"/>
    </w:rPr>
  </w:style>
  <w:style w:type="character" w:customStyle="1" w:styleId="26">
    <w:name w:val="font11"/>
    <w:basedOn w:val="14"/>
    <w:uiPriority w:val="99"/>
    <w:rPr>
      <w:rFonts w:ascii="仿宋_GB2312" w:eastAsia="仿宋_GB2312" w:cs="仿宋_GB2312"/>
      <w:color w:val="000000"/>
      <w:sz w:val="20"/>
      <w:szCs w:val="20"/>
      <w:u w:val="none"/>
    </w:rPr>
  </w:style>
  <w:style w:type="character" w:customStyle="1" w:styleId="27">
    <w:name w:val="font01"/>
    <w:basedOn w:val="14"/>
    <w:uiPriority w:val="99"/>
    <w:rPr>
      <w:rFonts w:ascii="等线" w:hAnsi="等线" w:eastAsia="等线" w:cs="等线"/>
      <w:color w:val="000000"/>
      <w:sz w:val="22"/>
      <w:szCs w:val="22"/>
      <w:u w:val="none"/>
    </w:rPr>
  </w:style>
  <w:style w:type="character" w:customStyle="1" w:styleId="28">
    <w:name w:val="font31"/>
    <w:basedOn w:val="14"/>
    <w:uiPriority w:val="99"/>
    <w:rPr>
      <w:rFonts w:ascii="方正仿宋_GB2312" w:hAnsi="方正仿宋_GB2312" w:eastAsia="方正仿宋_GB2312" w:cs="方正仿宋_GB2312"/>
      <w:color w:val="000000"/>
      <w:sz w:val="21"/>
      <w:szCs w:val="21"/>
      <w:u w:val="none"/>
    </w:rPr>
  </w:style>
  <w:style w:type="character" w:customStyle="1" w:styleId="29">
    <w:name w:val="font21"/>
    <w:basedOn w:val="14"/>
    <w:uiPriority w:val="99"/>
    <w:rPr>
      <w:rFonts w:ascii="方正仿宋_GB2312" w:hAnsi="方正仿宋_GB2312" w:eastAsia="方正仿宋_GB2312" w:cs="方正仿宋_GB2312"/>
      <w:color w:val="000000"/>
      <w:sz w:val="21"/>
      <w:szCs w:val="21"/>
      <w:u w:val="none"/>
    </w:rPr>
  </w:style>
  <w:style w:type="paragraph" w:customStyle="1" w:styleId="30">
    <w:name w:val="_Style 1"/>
    <w:basedOn w:val="1"/>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11</Pages>
  <Words>883</Words>
  <Characters>5038</Characters>
  <Lines>0</Lines>
  <Paragraphs>0</Paragraphs>
  <TotalTime>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2019-02-17T06:26:00Z</dcterms:created>
  <dc:creator>lhn</dc:creator>
  <cp:lastModifiedBy>谭</cp:lastModifiedBy>
  <cp:lastPrinted>2023-02-24T17:51:00Z</cp:lastPrinted>
  <dcterms:modified xsi:type="dcterms:W3CDTF">2025-09-01T01:00:03Z</dcterms:modified>
  <dc:title>财政支出绩效评价报告</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69FEC3D1EDB94CC092A70F5D96486FC1_13</vt:lpwstr>
  </property>
  <property fmtid="{D5CDD505-2E9C-101B-9397-08002B2CF9AE}" pid="4" name="KSOTemplateDocerSaveRecord">
    <vt:lpwstr>eyJoZGlkIjoiYzVmOWM0MDg5MmM3OTVkZTBjMjNlNDA3OTk4MGI0MjQiLCJ1c2VySWQiOiI1MzgwNDM4MDQifQ==</vt:lpwstr>
  </property>
</Properties>
</file>