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9574E">
      <w:pPr>
        <w:jc w:val="center"/>
        <w:rPr>
          <w:rFonts w:ascii="Times New Roman" w:hAnsi="Times New Roman" w:eastAsia="黑体" w:cs="Times New Roman"/>
          <w:sz w:val="32"/>
          <w:szCs w:val="32"/>
        </w:rPr>
      </w:pPr>
      <w:bookmarkStart w:id="0" w:name="_GoBack"/>
      <w:bookmarkEnd w:id="0"/>
    </w:p>
    <w:p w14:paraId="5D34402B">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度常宁司法局</w:t>
      </w:r>
      <w:r>
        <w:rPr>
          <w:rFonts w:ascii="方正小标宋_GBK" w:hAnsi="Times New Roman" w:eastAsia="方正小标宋_GBK" w:cs="Times New Roman"/>
          <w:sz w:val="44"/>
          <w:szCs w:val="44"/>
        </w:rPr>
        <w:t>部门整体支出</w:t>
      </w:r>
    </w:p>
    <w:p w14:paraId="5394E7E7">
      <w:pPr>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绩效自评报告</w:t>
      </w:r>
    </w:p>
    <w:p w14:paraId="716D5DCB">
      <w:pPr>
        <w:rPr>
          <w:rFonts w:ascii="Times New Roman" w:hAnsi="Times New Roman" w:eastAsia="仿宋_GB2312" w:cs="Times New Roman"/>
          <w:sz w:val="32"/>
          <w:szCs w:val="32"/>
        </w:rPr>
      </w:pPr>
    </w:p>
    <w:p w14:paraId="3CBB10F1">
      <w:pPr>
        <w:ind w:firstLine="640" w:firstLineChars="200"/>
        <w:rPr>
          <w:rFonts w:ascii="Times New Roman" w:hAnsi="Times New Roman" w:eastAsia="黑体" w:cs="Times New Roman"/>
          <w:sz w:val="32"/>
          <w:szCs w:val="32"/>
        </w:rPr>
      </w:pPr>
    </w:p>
    <w:p w14:paraId="55FC5101">
      <w:pPr>
        <w:pStyle w:val="11"/>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35BBB551">
      <w:pPr>
        <w:pStyle w:val="11"/>
        <w:spacing w:line="600" w:lineRule="exact"/>
        <w:ind w:left="136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14:paraId="0CC10786">
      <w:pPr>
        <w:pStyle w:val="11"/>
        <w:spacing w:line="600" w:lineRule="exact"/>
        <w:ind w:left="136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1、贯彻执行国家有关司法行政工作的方针、政策和法律、法规，编制全市司法行政发展中、长期规划和年度计划并监督实施。</w:t>
      </w:r>
    </w:p>
    <w:p w14:paraId="6E525395">
      <w:pPr>
        <w:pStyle w:val="11"/>
        <w:spacing w:line="600" w:lineRule="exact"/>
        <w:ind w:left="136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2、受市人大和市人民政府的委托，参与有关地方性行政规章、规范性文件的起草工作，会同有关部门监督、检查行政法律、法规和规章的执行情况。</w:t>
      </w:r>
    </w:p>
    <w:p w14:paraId="69BF8EA7">
      <w:pPr>
        <w:pStyle w:val="11"/>
        <w:spacing w:line="600" w:lineRule="exact"/>
        <w:ind w:left="136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3、制定本市法制宣传教育计划和普及法律常识规划，并组织实施；指导全市依法治理工作。</w:t>
      </w:r>
    </w:p>
    <w:p w14:paraId="39597AB5">
      <w:pPr>
        <w:pStyle w:val="11"/>
        <w:spacing w:line="600" w:lineRule="exact"/>
        <w:ind w:left="136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4、指导和管理全市律师、法律顾问、法律援助和公证工作；管理社会法律服务机构和公证机构。</w:t>
      </w:r>
    </w:p>
    <w:p w14:paraId="7F8A67C9">
      <w:pPr>
        <w:pStyle w:val="11"/>
        <w:spacing w:line="600" w:lineRule="exact"/>
        <w:ind w:left="136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5、指导人民调解工作、基层司法助理员、基层司法所和基层法律服务所工作；参与社会治安综合治理。</w:t>
      </w:r>
    </w:p>
    <w:p w14:paraId="13124425">
      <w:pPr>
        <w:pStyle w:val="11"/>
        <w:spacing w:line="600" w:lineRule="exact"/>
        <w:ind w:left="136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6、指导管理全市面向社会服务的司法鉴定工作。</w:t>
      </w:r>
    </w:p>
    <w:p w14:paraId="2A78929B">
      <w:pPr>
        <w:pStyle w:val="11"/>
        <w:spacing w:line="600" w:lineRule="exact"/>
        <w:ind w:left="136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7、会同有关部门负责对刑满释放和解除劳动教养人员的安置帮教工作。</w:t>
      </w:r>
    </w:p>
    <w:p w14:paraId="691D0B8B">
      <w:pPr>
        <w:pStyle w:val="11"/>
        <w:spacing w:line="600" w:lineRule="exact"/>
        <w:ind w:left="136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8、对社区矫正对象的评估、考核和日常监管。</w:t>
      </w:r>
    </w:p>
    <w:p w14:paraId="1A2361B8">
      <w:pPr>
        <w:pStyle w:val="11"/>
        <w:spacing w:line="600" w:lineRule="exact"/>
        <w:ind w:left="136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9、指导全市司法行政系统的队伍建设和思想政治工作；组织开展法学教育；组织司法行政干部培训；承办市委、市人大、市人民政府和衡阳市司法局交办的其他的事项。</w:t>
      </w:r>
    </w:p>
    <w:p w14:paraId="73800B5D">
      <w:pPr>
        <w:pStyle w:val="11"/>
        <w:spacing w:line="600" w:lineRule="exact"/>
        <w:ind w:left="136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55B163C4">
      <w:pPr>
        <w:pStyle w:val="11"/>
        <w:spacing w:line="600" w:lineRule="exact"/>
        <w:ind w:left="136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部门设置。根据编委核定本单位内设处室13个，所属事业单位3个，乡镇司法所22个。其中：内设处室分别是办公室、法治研究督察室（全面依法治市委员会办公室秘书股）、行政复议股、行政应诉股、行政执法协调监督股、基层法制建设股（人民陪审员和监督员选任管理办公室）、规范性文件管理股、法律事务股、普法和依法治理股、公共法律服务管理股、装备财务保障股、政工室（下设组织干部股、人事警务股）、社区矫正管理股、所属事业单位分别是公证处、法律援助中心、政府法律顾问室。</w:t>
      </w:r>
    </w:p>
    <w:p w14:paraId="3FF0D58C">
      <w:pPr>
        <w:pStyle w:val="11"/>
        <w:spacing w:line="600" w:lineRule="exact"/>
        <w:ind w:left="1360" w:firstLine="0" w:firstLineChars="0"/>
        <w:rPr>
          <w:rFonts w:ascii="黑体" w:hAnsi="黑体" w:eastAsia="黑体" w:cs="Times New Roman"/>
          <w:sz w:val="32"/>
          <w:szCs w:val="32"/>
        </w:rPr>
      </w:pPr>
    </w:p>
    <w:p w14:paraId="5C98FD1D">
      <w:pPr>
        <w:pStyle w:val="11"/>
        <w:spacing w:line="600" w:lineRule="exact"/>
        <w:ind w:left="1360" w:firstLine="0" w:firstLineChars="0"/>
        <w:rPr>
          <w:rFonts w:ascii="黑体" w:hAnsi="黑体" w:eastAsia="黑体" w:cs="Times New Roman"/>
          <w:sz w:val="32"/>
          <w:szCs w:val="32"/>
        </w:rPr>
      </w:pPr>
    </w:p>
    <w:p w14:paraId="7AA08FB4">
      <w:pPr>
        <w:pStyle w:val="11"/>
        <w:spacing w:line="600" w:lineRule="exact"/>
        <w:ind w:left="1360" w:firstLine="0" w:firstLineChars="0"/>
        <w:rPr>
          <w:rFonts w:ascii="黑体" w:hAnsi="黑体" w:eastAsia="黑体" w:cs="Times New Roman"/>
          <w:sz w:val="32"/>
          <w:szCs w:val="32"/>
        </w:rPr>
      </w:pPr>
    </w:p>
    <w:p w14:paraId="013B4EE1">
      <w:pPr>
        <w:pStyle w:val="10"/>
        <w:widowControl/>
        <w:numPr>
          <w:ilvl w:val="0"/>
          <w:numId w:val="1"/>
        </w:numPr>
        <w:spacing w:line="600" w:lineRule="exact"/>
        <w:ind w:firstLine="0" w:firstLineChars="0"/>
        <w:rPr>
          <w:rFonts w:ascii="黑体" w:hAnsi="黑体" w:eastAsia="黑体" w:cs="Times New Roman"/>
          <w:sz w:val="32"/>
          <w:szCs w:val="32"/>
        </w:rPr>
      </w:pPr>
      <w:r>
        <w:rPr>
          <w:rFonts w:ascii="黑体" w:hAnsi="黑体" w:eastAsia="黑体" w:cs="Times New Roman"/>
          <w:sz w:val="32"/>
          <w:szCs w:val="32"/>
        </w:rPr>
        <w:t>一般公共预算支出情况</w:t>
      </w:r>
    </w:p>
    <w:p w14:paraId="08EDEAAA">
      <w:pPr>
        <w:pStyle w:val="10"/>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0405448E">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1586.09万元，其中：人员经费1224.05万元，主要包括：基本工资、津贴补贴、奖金、社会保障缴费、伙食补助费、其他工资福利支出、抚恤金、生活补助、住房公积金、其他对个人和家庭的补助；公用经费362.04万元，主要包括：办公费、印刷费、水费、电费、邮电费、物业管理费、差旅费、维修（护）费、租赁费、会议费、培训费、公务接待费、专用材料费、劳务费、工会经费、其他商品和服务支出。</w:t>
      </w:r>
    </w:p>
    <w:p w14:paraId="46ABA9F2">
      <w:pPr>
        <w:pStyle w:val="10"/>
        <w:widowControl/>
        <w:spacing w:line="600" w:lineRule="exact"/>
        <w:ind w:firstLine="640"/>
        <w:rPr>
          <w:rFonts w:ascii="仿宋_GB2312" w:hAnsi="仿宋_GB2312" w:eastAsia="仿宋_GB2312" w:cs="仿宋_GB2312"/>
          <w:bCs/>
          <w:sz w:val="32"/>
          <w:szCs w:val="32"/>
        </w:rPr>
      </w:pPr>
      <w:r>
        <w:rPr>
          <w:rFonts w:ascii="楷体_GB2312" w:hAnsi="Times New Roman" w:eastAsia="楷体_GB2312" w:cs="Times New Roman"/>
          <w:b/>
          <w:sz w:val="32"/>
          <w:szCs w:val="32"/>
        </w:rPr>
        <w:t>（二）项目支出情况</w:t>
      </w:r>
    </w:p>
    <w:p w14:paraId="3C44A3D3">
      <w:pPr>
        <w:spacing w:line="500" w:lineRule="exact"/>
        <w:ind w:firstLine="640" w:firstLineChars="200"/>
        <w:rPr>
          <w:rFonts w:ascii="宋体" w:hAnsi="宋体" w:eastAsia="宋体"/>
          <w:sz w:val="32"/>
          <w:szCs w:val="32"/>
        </w:rPr>
      </w:pPr>
      <w:r>
        <w:rPr>
          <w:rFonts w:hint="eastAsia" w:ascii="仿宋_GB2312" w:hAnsi="仿宋_GB2312" w:eastAsia="仿宋_GB2312" w:cs="仿宋_GB2312"/>
          <w:bCs/>
          <w:sz w:val="32"/>
          <w:szCs w:val="32"/>
        </w:rPr>
        <w:t>2024年度项目支出279.99万元，具体支出如下表</w:t>
      </w:r>
      <w:r>
        <w:rPr>
          <w:rFonts w:hint="eastAsia" w:ascii="宋体" w:hAnsi="宋体" w:eastAsia="宋体"/>
          <w:sz w:val="32"/>
          <w:szCs w:val="32"/>
        </w:rPr>
        <w:t>：</w:t>
      </w:r>
    </w:p>
    <w:p w14:paraId="47FC976C">
      <w:pPr>
        <w:spacing w:line="500" w:lineRule="exact"/>
        <w:ind w:firstLine="640" w:firstLineChars="200"/>
        <w:rPr>
          <w:rFonts w:ascii="宋体" w:hAnsi="宋体" w:eastAsia="宋体"/>
          <w:sz w:val="32"/>
          <w:szCs w:val="32"/>
        </w:rPr>
      </w:pPr>
    </w:p>
    <w:tbl>
      <w:tblPr>
        <w:tblStyle w:val="5"/>
        <w:tblW w:w="8429" w:type="dxa"/>
        <w:tblInd w:w="93" w:type="dxa"/>
        <w:tblLayout w:type="fixed"/>
        <w:tblCellMar>
          <w:top w:w="0" w:type="dxa"/>
          <w:left w:w="108" w:type="dxa"/>
          <w:bottom w:w="0" w:type="dxa"/>
          <w:right w:w="108" w:type="dxa"/>
        </w:tblCellMar>
      </w:tblPr>
      <w:tblGrid>
        <w:gridCol w:w="7366"/>
        <w:gridCol w:w="1063"/>
      </w:tblGrid>
      <w:tr w14:paraId="2D02E79F">
        <w:tblPrEx>
          <w:tblCellMar>
            <w:top w:w="0" w:type="dxa"/>
            <w:left w:w="108" w:type="dxa"/>
            <w:bottom w:w="0" w:type="dxa"/>
            <w:right w:w="108" w:type="dxa"/>
          </w:tblCellMar>
        </w:tblPrEx>
        <w:trPr>
          <w:trHeight w:val="300" w:hRule="atLeast"/>
        </w:trPr>
        <w:tc>
          <w:tcPr>
            <w:tcW w:w="7366" w:type="dxa"/>
            <w:tcBorders>
              <w:top w:val="single" w:color="D4D4D4" w:sz="4" w:space="0"/>
              <w:left w:val="single" w:color="D4D4D4" w:sz="4" w:space="0"/>
              <w:bottom w:val="single" w:color="000000" w:sz="4" w:space="0"/>
              <w:right w:val="single" w:color="000000" w:sz="4" w:space="0"/>
            </w:tcBorders>
            <w:shd w:val="clear" w:color="auto" w:fill="F1F1F1"/>
            <w:vAlign w:val="center"/>
          </w:tcPr>
          <w:p w14:paraId="3C9FA846">
            <w:pPr>
              <w:widowControl/>
              <w:jc w:val="center"/>
              <w:textAlignment w:val="center"/>
              <w:rPr>
                <w:rFonts w:ascii="宋体" w:hAnsi="宋体" w:eastAsia="宋体"/>
                <w:color w:val="000000"/>
                <w:sz w:val="22"/>
                <w:szCs w:val="22"/>
              </w:rPr>
            </w:pPr>
            <w:r>
              <w:rPr>
                <w:rFonts w:hint="eastAsia" w:ascii="宋体" w:hAnsi="宋体" w:eastAsia="宋体"/>
                <w:color w:val="000000"/>
                <w:sz w:val="22"/>
                <w:szCs w:val="22"/>
              </w:rPr>
              <w:t>栏次</w:t>
            </w:r>
          </w:p>
        </w:tc>
        <w:tc>
          <w:tcPr>
            <w:tcW w:w="1063" w:type="dxa"/>
            <w:tcBorders>
              <w:top w:val="single" w:color="D4D4D4" w:sz="4" w:space="0"/>
              <w:left w:val="single" w:color="000000" w:sz="4" w:space="0"/>
              <w:bottom w:val="single" w:color="000000" w:sz="4" w:space="0"/>
              <w:right w:val="single" w:color="D4D4D4" w:sz="4" w:space="0"/>
            </w:tcBorders>
            <w:shd w:val="clear" w:color="auto" w:fill="F1F1F1"/>
            <w:vAlign w:val="center"/>
          </w:tcPr>
          <w:p w14:paraId="0900D090">
            <w:pPr>
              <w:widowControl/>
              <w:jc w:val="center"/>
              <w:textAlignment w:val="center"/>
              <w:rPr>
                <w:rFonts w:ascii="宋体" w:hAnsi="宋体" w:eastAsia="宋体"/>
                <w:color w:val="000000"/>
                <w:sz w:val="22"/>
                <w:szCs w:val="22"/>
              </w:rPr>
            </w:pPr>
            <w:r>
              <w:rPr>
                <w:rFonts w:hint="eastAsia" w:ascii="宋体" w:hAnsi="宋体" w:eastAsia="宋体"/>
                <w:color w:val="000000"/>
                <w:sz w:val="22"/>
                <w:szCs w:val="22"/>
              </w:rPr>
              <w:t>金额（万元）</w:t>
            </w:r>
          </w:p>
        </w:tc>
      </w:tr>
      <w:tr w14:paraId="42616A44">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1F1F1"/>
            <w:vAlign w:val="center"/>
          </w:tcPr>
          <w:p w14:paraId="670DF772">
            <w:pPr>
              <w:widowControl/>
              <w:jc w:val="center"/>
              <w:textAlignment w:val="center"/>
              <w:rPr>
                <w:rFonts w:ascii="宋体" w:hAnsi="宋体" w:eastAsia="宋体"/>
                <w:color w:val="000000"/>
                <w:sz w:val="22"/>
                <w:szCs w:val="22"/>
              </w:rPr>
            </w:pPr>
            <w:r>
              <w:rPr>
                <w:rFonts w:hint="eastAsia" w:ascii="宋体" w:hAnsi="宋体" w:eastAsia="宋体"/>
                <w:color w:val="000000"/>
                <w:sz w:val="22"/>
                <w:szCs w:val="22"/>
              </w:rPr>
              <w:t>合计</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67C49A9">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279.99</w:t>
            </w:r>
          </w:p>
        </w:tc>
      </w:tr>
      <w:tr w14:paraId="722A6417">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576A3B6">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办案费</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927E6A2">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5.62</w:t>
            </w:r>
          </w:p>
        </w:tc>
      </w:tr>
      <w:tr w14:paraId="2C65BD3B">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F773D2E">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湘财预【2023】353号下达2024年中央和省级转移支付资金（业务装备经费）</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4D65119">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12.73</w:t>
            </w:r>
          </w:p>
        </w:tc>
      </w:tr>
      <w:tr w14:paraId="6EA7253F">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8F2DBCD">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湘财预[2022]0315号关于提前下达2023年中央和省级政法转移支付资金。</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6937556">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16.47</w:t>
            </w:r>
          </w:p>
        </w:tc>
      </w:tr>
      <w:tr w14:paraId="0F0FCDCF">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94114B4">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法律援助案件补贴经费</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0E858AA">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30.00</w:t>
            </w:r>
          </w:p>
        </w:tc>
      </w:tr>
      <w:tr w14:paraId="2CD498F3">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E5C510C">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2023年度禁燃禁放工作经费</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CC67CB7">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0.50</w:t>
            </w:r>
          </w:p>
        </w:tc>
      </w:tr>
      <w:tr w14:paraId="0B36EE69">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4461A79">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湘财预【2023】353号下达2024年中央和省级转移支付资金（人民调解案件“以奖代补”经费）</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E97A629">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8.00</w:t>
            </w:r>
          </w:p>
        </w:tc>
      </w:tr>
      <w:tr w14:paraId="357458F8">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24111FD">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湘财预【2023】353下达2024年中央和省级转移支付资金（规范化司法所创建项目经费）</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AF4C2A9">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49.70</w:t>
            </w:r>
          </w:p>
        </w:tc>
      </w:tr>
      <w:tr w14:paraId="42C78112">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CA7FA0E">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普法经费</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30FE4CF">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1.11</w:t>
            </w:r>
          </w:p>
        </w:tc>
      </w:tr>
      <w:tr w14:paraId="0505C46C">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769EE86">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湘财预（2024）131号下达法律援助补助经费</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E8AF121">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4.00</w:t>
            </w:r>
          </w:p>
        </w:tc>
      </w:tr>
      <w:tr w14:paraId="1C04723C">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3C72C5F">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湘财预（2023）0113号下达2023年中央和省级政法转移支付资金（法律援助补助经费）</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7BD4EBE">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14.00</w:t>
            </w:r>
          </w:p>
        </w:tc>
      </w:tr>
      <w:tr w14:paraId="1562138C">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646A876">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法律援助</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3AFAAD0">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29.12</w:t>
            </w:r>
          </w:p>
        </w:tc>
      </w:tr>
      <w:tr w14:paraId="2EEC274F">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5AC062C">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社区矫正经费、社区矫正选派人员补助</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BB19DF2">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4.30</w:t>
            </w:r>
          </w:p>
        </w:tc>
      </w:tr>
      <w:tr w14:paraId="76BCB742">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2A7CDFA">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依法治市工作经费</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D80247A">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7.98</w:t>
            </w:r>
          </w:p>
        </w:tc>
      </w:tr>
      <w:tr w14:paraId="36983ACF">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A48DEB2">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从国防公共安全专项资金中安排智慧矫正中心建设资金</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66AD2BA">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48.00</w:t>
            </w:r>
          </w:p>
        </w:tc>
      </w:tr>
      <w:tr w14:paraId="33F8DC2A">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2A82A12">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从预留工资福利支出中安排2023年社保缴费结算资金（养老保险）</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ACC0A93">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7.71</w:t>
            </w:r>
          </w:p>
        </w:tc>
      </w:tr>
      <w:tr w14:paraId="24EE4439">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9336C67">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从社会保障和就业专项资金中安排第一季度各单位死亡人员一次性抚恤</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EB86A98">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16.13</w:t>
            </w:r>
          </w:p>
        </w:tc>
      </w:tr>
      <w:tr w14:paraId="73452E53">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3DA8F2F">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从社会保障和就业专项资金中安排死亡人员一次性抚恤金</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50D8FAA">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16.82</w:t>
            </w:r>
          </w:p>
        </w:tc>
      </w:tr>
      <w:tr w14:paraId="43009912">
        <w:tblPrEx>
          <w:tblCellMar>
            <w:top w:w="0" w:type="dxa"/>
            <w:left w:w="108" w:type="dxa"/>
            <w:bottom w:w="0" w:type="dxa"/>
            <w:right w:w="108" w:type="dxa"/>
          </w:tblCellMar>
        </w:tblPrEx>
        <w:trPr>
          <w:trHeight w:val="300" w:hRule="atLeast"/>
        </w:trPr>
        <w:tc>
          <w:tcPr>
            <w:tcW w:w="7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9FA321E">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从社会保障和就业专项资金中安排退休干部待遇补贴</w:t>
            </w:r>
          </w:p>
        </w:tc>
        <w:tc>
          <w:tcPr>
            <w:tcW w:w="1063"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533F956">
            <w:pPr>
              <w:widowControl/>
              <w:jc w:val="right"/>
              <w:textAlignment w:val="center"/>
              <w:rPr>
                <w:rFonts w:ascii="宋体" w:hAnsi="宋体" w:eastAsia="宋体"/>
                <w:color w:val="000000"/>
                <w:sz w:val="22"/>
                <w:szCs w:val="22"/>
              </w:rPr>
            </w:pPr>
            <w:r>
              <w:rPr>
                <w:rFonts w:hint="eastAsia" w:ascii="宋体" w:hAnsi="宋体" w:eastAsia="宋体"/>
                <w:color w:val="000000"/>
                <w:sz w:val="22"/>
                <w:szCs w:val="22"/>
              </w:rPr>
              <w:t>7.80</w:t>
            </w:r>
          </w:p>
        </w:tc>
      </w:tr>
    </w:tbl>
    <w:p w14:paraId="410B4B07">
      <w:pPr>
        <w:spacing w:line="500" w:lineRule="exact"/>
        <w:ind w:firstLine="1056" w:firstLineChars="330"/>
        <w:rPr>
          <w:rFonts w:ascii="宋体" w:hAnsi="宋体" w:eastAsia="宋体"/>
          <w:sz w:val="32"/>
          <w:szCs w:val="32"/>
        </w:rPr>
      </w:pPr>
    </w:p>
    <w:p w14:paraId="631ABF29">
      <w:pPr>
        <w:spacing w:line="500" w:lineRule="exact"/>
        <w:ind w:firstLine="643" w:firstLineChars="200"/>
        <w:rPr>
          <w:rFonts w:ascii="Times New Roman" w:hAnsi="Times New Roman" w:eastAsia="楷体_GB2312" w:cs="Times New Roman"/>
          <w:b/>
          <w:sz w:val="32"/>
          <w:szCs w:val="32"/>
        </w:rPr>
      </w:pPr>
    </w:p>
    <w:p w14:paraId="2C97CDCD">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231F6CBF">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14:paraId="55EA71EE">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2F17BCD1">
      <w:pPr>
        <w:pStyle w:val="10"/>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12D1ED31">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3354B825">
      <w:pPr>
        <w:pStyle w:val="11"/>
        <w:widowControl/>
        <w:spacing w:line="600" w:lineRule="exact"/>
        <w:ind w:firstLine="64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56EDD52F">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07B79E55">
      <w:pPr>
        <w:overflowPunct w:val="0"/>
        <w:spacing w:line="560" w:lineRule="exact"/>
        <w:ind w:firstLine="643" w:firstLineChars="200"/>
        <w:rPr>
          <w:rFonts w:cs="仿宋"/>
          <w:kern w:val="2"/>
          <w:sz w:val="32"/>
          <w:szCs w:val="32"/>
        </w:rPr>
      </w:pPr>
      <w:r>
        <w:rPr>
          <w:rFonts w:hint="eastAsia" w:ascii="楷体" w:hAnsi="楷体" w:eastAsia="楷体" w:cs="楷体"/>
          <w:b/>
          <w:bCs/>
          <w:kern w:val="2"/>
          <w:sz w:val="32"/>
          <w:szCs w:val="32"/>
        </w:rPr>
        <w:t>（一）强化政治引领，服务工作大局</w:t>
      </w:r>
      <w:r>
        <w:rPr>
          <w:rStyle w:val="7"/>
          <w:rFonts w:hint="eastAsia" w:ascii="楷体" w:hAnsi="楷体" w:eastAsia="楷体" w:cs="楷体"/>
          <w:sz w:val="32"/>
          <w:szCs w:val="32"/>
          <w:shd w:val="clear" w:color="auto" w:fill="FFFFFF"/>
        </w:rPr>
        <w:t>。</w:t>
      </w:r>
      <w:r>
        <w:rPr>
          <w:rFonts w:hint="eastAsia" w:cs="仿宋"/>
          <w:b/>
          <w:bCs/>
          <w:kern w:val="2"/>
          <w:sz w:val="32"/>
          <w:szCs w:val="32"/>
        </w:rPr>
        <w:t>一是强化组织领导。</w:t>
      </w:r>
      <w:r>
        <w:rPr>
          <w:rFonts w:hint="eastAsia" w:cs="仿宋"/>
          <w:kern w:val="2"/>
          <w:sz w:val="32"/>
          <w:szCs w:val="32"/>
        </w:rPr>
        <w:t>统筹推进党的建设、经济发展、安全稳定、乡村振兴、优化营商环境、创文创卫、人大建议案办理等各项中心工作。</w:t>
      </w:r>
      <w:r>
        <w:rPr>
          <w:rFonts w:hint="eastAsia" w:cs="仿宋"/>
          <w:b/>
          <w:bCs/>
          <w:kern w:val="2"/>
          <w:sz w:val="32"/>
          <w:szCs w:val="32"/>
        </w:rPr>
        <w:t>二是筑牢基层阵地。</w:t>
      </w:r>
      <w:r>
        <w:rPr>
          <w:rFonts w:hint="eastAsia" w:cs="仿宋"/>
          <w:kern w:val="2"/>
          <w:sz w:val="32"/>
          <w:szCs w:val="32"/>
        </w:rPr>
        <w:t>扎实开展“我为群众办实事”“我为基层解难题”“‘小马拉大车’为基层减负”等活动，强化基层法治阵地建设，解决好民生关切问题，护航经济社会发展。</w:t>
      </w:r>
      <w:r>
        <w:rPr>
          <w:rFonts w:hint="eastAsia" w:cs="仿宋"/>
          <w:b/>
          <w:bCs/>
          <w:kern w:val="2"/>
          <w:sz w:val="32"/>
          <w:szCs w:val="32"/>
        </w:rPr>
        <w:t>三是加强意识形态导向。</w:t>
      </w:r>
      <w:r>
        <w:rPr>
          <w:rFonts w:hint="eastAsia" w:cs="仿宋"/>
          <w:kern w:val="2"/>
          <w:sz w:val="32"/>
          <w:szCs w:val="32"/>
        </w:rPr>
        <w:t>组织全局党员和干部职工深入学习贯彻党的二十大和二十届二中、三中全会精神、《中国共产党纪律处分条例》分则案例解读等，通过线上线下多种形式，扎实开展基层党建“三会一课”、主题党日活动，实现党员干部学习培训全覆盖，为党员干部拉紧法律红线、纪律红线。</w:t>
      </w:r>
      <w:r>
        <w:rPr>
          <w:rFonts w:hint="eastAsia" w:cs="仿宋"/>
          <w:b/>
          <w:bCs/>
          <w:kern w:val="2"/>
          <w:sz w:val="32"/>
          <w:szCs w:val="32"/>
        </w:rPr>
        <w:t>四是扎实开展巡察整改。</w:t>
      </w:r>
      <w:r>
        <w:rPr>
          <w:rFonts w:hint="eastAsia" w:cs="仿宋"/>
          <w:kern w:val="2"/>
          <w:sz w:val="32"/>
          <w:szCs w:val="32"/>
        </w:rPr>
        <w:t>局党组在衡阳市委第十二巡察组巡察反馈会后制定了具体整改方案，以“钉钉子”精神，完成一项，销号一项，确保在规定时间实现巡察反馈问题整改清零。</w:t>
      </w:r>
    </w:p>
    <w:p w14:paraId="657F394A">
      <w:pPr>
        <w:pStyle w:val="4"/>
        <w:widowControl/>
        <w:shd w:val="clear" w:color="auto" w:fill="FFFFFF"/>
        <w:spacing w:before="0" w:beforeAutospacing="0" w:after="0" w:afterAutospacing="0" w:line="560" w:lineRule="exact"/>
        <w:ind w:firstLine="643" w:firstLineChars="200"/>
        <w:jc w:val="both"/>
        <w:rPr>
          <w:rFonts w:cs="仿宋"/>
          <w:kern w:val="2"/>
          <w:sz w:val="32"/>
          <w:szCs w:val="32"/>
        </w:rPr>
      </w:pPr>
      <w:r>
        <w:rPr>
          <w:rFonts w:hint="eastAsia" w:ascii="楷体" w:hAnsi="楷体" w:eastAsia="楷体" w:cs="楷体"/>
          <w:b/>
          <w:bCs/>
          <w:kern w:val="2"/>
          <w:sz w:val="32"/>
          <w:szCs w:val="32"/>
        </w:rPr>
        <w:t>（二）对照任务清单，落实法治督查。</w:t>
      </w:r>
      <w:r>
        <w:rPr>
          <w:rFonts w:hint="eastAsia" w:cs="仿宋"/>
          <w:kern w:val="2"/>
          <w:sz w:val="32"/>
          <w:szCs w:val="32"/>
        </w:rPr>
        <w:t>顺利通过省依治办来常实地督察依法治市工作，充分展现了常宁以高质量法治推动经济高质量发展成效。</w:t>
      </w:r>
      <w:r>
        <w:rPr>
          <w:rStyle w:val="7"/>
          <w:rFonts w:hint="eastAsia" w:cs="仿宋"/>
          <w:sz w:val="32"/>
          <w:szCs w:val="32"/>
          <w:shd w:val="clear" w:color="auto" w:fill="FFFFFF"/>
        </w:rPr>
        <w:t>一是督查学习进度。</w:t>
      </w:r>
      <w:r>
        <w:rPr>
          <w:rFonts w:hint="eastAsia" w:cs="仿宋"/>
          <w:kern w:val="2"/>
          <w:sz w:val="32"/>
          <w:szCs w:val="32"/>
        </w:rPr>
        <w:t>持续将“习近平法治思想”纳入全市各级党委（党组）理论学习中心组专题学习内容及市委党校的教学和培训课程，各级党委（党组）理论学习中心组共开展习近平法治思想</w:t>
      </w:r>
      <w:r>
        <w:rPr>
          <w:rFonts w:hint="eastAsia" w:cs="仿宋"/>
          <w:color w:val="000000" w:themeColor="text1"/>
          <w:kern w:val="2"/>
          <w:sz w:val="32"/>
          <w:szCs w:val="32"/>
        </w:rPr>
        <w:t>学习15余次。</w:t>
      </w:r>
      <w:r>
        <w:rPr>
          <w:rFonts w:hint="eastAsia" w:cs="仿宋"/>
          <w:b/>
          <w:bCs/>
          <w:color w:val="000000" w:themeColor="text1"/>
          <w:kern w:val="2"/>
          <w:sz w:val="32"/>
          <w:szCs w:val="32"/>
        </w:rPr>
        <w:t>二是压实主体责任。</w:t>
      </w:r>
      <w:r>
        <w:rPr>
          <w:rFonts w:hint="eastAsia" w:cs="仿宋"/>
          <w:kern w:val="2"/>
          <w:sz w:val="32"/>
          <w:szCs w:val="32"/>
        </w:rPr>
        <w:t>严格落实党政主要负责人履行推进法治建设第一责任人职责，召开 2024年度专题述法工作会议，实现党政主要负责人“现场述法+书面述法”全覆盖。</w:t>
      </w:r>
      <w:r>
        <w:rPr>
          <w:rFonts w:hint="eastAsia" w:cs="仿宋"/>
          <w:b/>
          <w:bCs/>
          <w:kern w:val="2"/>
          <w:sz w:val="32"/>
          <w:szCs w:val="32"/>
        </w:rPr>
        <w:t>三是落实负面清单。</w:t>
      </w:r>
      <w:r>
        <w:rPr>
          <w:rFonts w:hint="eastAsia" w:cs="仿宋"/>
          <w:kern w:val="2"/>
          <w:sz w:val="32"/>
          <w:szCs w:val="32"/>
        </w:rPr>
        <w:t>明确“两轻一免”负面清单,大力推行“两轻一免”、“首违不罚”柔性执法，截止目前，办理</w:t>
      </w:r>
      <w:r>
        <w:rPr>
          <w:rFonts w:hint="eastAsia" w:cs="仿宋"/>
          <w:color w:val="000000" w:themeColor="text1"/>
          <w:kern w:val="2"/>
          <w:sz w:val="32"/>
          <w:szCs w:val="32"/>
        </w:rPr>
        <w:t>首违警告3起，轻微违法4起。</w:t>
      </w:r>
    </w:p>
    <w:p w14:paraId="59F9C9AC">
      <w:pPr>
        <w:pStyle w:val="4"/>
        <w:widowControl/>
        <w:shd w:val="clear" w:color="auto" w:fill="FFFFFF"/>
        <w:spacing w:before="0" w:beforeAutospacing="0" w:after="0" w:afterAutospacing="0" w:line="560" w:lineRule="exact"/>
        <w:ind w:firstLine="643" w:firstLineChars="200"/>
        <w:jc w:val="both"/>
        <w:rPr>
          <w:rFonts w:cs="仿宋"/>
          <w:kern w:val="2"/>
          <w:sz w:val="32"/>
          <w:szCs w:val="32"/>
        </w:rPr>
      </w:pPr>
      <w:r>
        <w:rPr>
          <w:rFonts w:hint="eastAsia" w:ascii="楷体" w:hAnsi="楷体" w:eastAsia="楷体" w:cs="楷体"/>
          <w:b/>
          <w:bCs/>
          <w:kern w:val="2"/>
          <w:sz w:val="32"/>
          <w:szCs w:val="32"/>
        </w:rPr>
        <w:t>（三）强化执法监督，统筹法治建设。</w:t>
      </w:r>
      <w:r>
        <w:rPr>
          <w:rFonts w:hint="eastAsia" w:cs="仿宋"/>
          <w:b/>
          <w:bCs/>
          <w:kern w:val="2"/>
          <w:sz w:val="32"/>
          <w:szCs w:val="32"/>
        </w:rPr>
        <w:t>一是完善政府法律顾问制度。</w:t>
      </w:r>
      <w:r>
        <w:rPr>
          <w:rFonts w:hint="eastAsia" w:cs="仿宋"/>
          <w:kern w:val="2"/>
          <w:sz w:val="32"/>
          <w:szCs w:val="32"/>
        </w:rPr>
        <w:t>今年来为政府审查重大合同9件，出具会议纪要审查意见64次，其他事项出具了合法性审查意见57次余件，共收到行政复议申请51件，应诉案件35件。其中，行政复议案件依法受理的有39件，不予受理12件。受理案件中已审理结案28件</w:t>
      </w:r>
      <w:r>
        <w:rPr>
          <w:rFonts w:hint="eastAsia" w:cs="仿宋"/>
          <w:b/>
          <w:bCs/>
          <w:kern w:val="2"/>
          <w:sz w:val="32"/>
          <w:szCs w:val="32"/>
        </w:rPr>
        <w:t>。二是</w:t>
      </w:r>
      <w:r>
        <w:rPr>
          <w:rFonts w:hint="eastAsia" w:cs="仿宋"/>
          <w:b/>
          <w:bCs/>
          <w:sz w:val="32"/>
          <w:szCs w:val="32"/>
        </w:rPr>
        <w:t>提高行政执法监督力度</w:t>
      </w:r>
      <w:r>
        <w:rPr>
          <w:rFonts w:hint="eastAsia" w:cs="仿宋"/>
          <w:b/>
          <w:bCs/>
          <w:kern w:val="2"/>
          <w:sz w:val="32"/>
          <w:szCs w:val="32"/>
        </w:rPr>
        <w:t>。</w:t>
      </w:r>
      <w:r>
        <w:rPr>
          <w:rFonts w:hint="eastAsia" w:cs="仿宋"/>
          <w:kern w:val="2"/>
          <w:sz w:val="32"/>
          <w:szCs w:val="32"/>
        </w:rPr>
        <w:t>组织开展行政执法人员培训和2024年湖南省行政资格执法考试；强化规范性文件管理，今年来，已审查政府规范性文件9件，制定规范性文件9件、报备率100%，没有一件因违法被上级政府撤销，并对全市开展了规范性文件全面清理工作，共清理规范性文件141件。</w:t>
      </w:r>
    </w:p>
    <w:p w14:paraId="033D87F8">
      <w:pPr>
        <w:pStyle w:val="4"/>
        <w:widowControl/>
        <w:shd w:val="clear" w:color="auto" w:fill="FFFFFF"/>
        <w:spacing w:before="0" w:beforeAutospacing="0" w:after="0" w:afterAutospacing="0" w:line="560" w:lineRule="exact"/>
        <w:ind w:firstLine="643" w:firstLineChars="200"/>
        <w:jc w:val="both"/>
        <w:rPr>
          <w:rFonts w:cs="仿宋"/>
          <w:kern w:val="2"/>
          <w:sz w:val="32"/>
          <w:szCs w:val="32"/>
        </w:rPr>
      </w:pPr>
      <w:r>
        <w:rPr>
          <w:rFonts w:hint="eastAsia" w:ascii="楷体" w:hAnsi="楷体" w:eastAsia="楷体" w:cs="楷体"/>
          <w:b/>
          <w:bCs/>
          <w:kern w:val="2"/>
          <w:sz w:val="32"/>
          <w:szCs w:val="32"/>
        </w:rPr>
        <w:t>（四）注重法治惠民，提升服务水平。</w:t>
      </w:r>
      <w:r>
        <w:rPr>
          <w:rFonts w:hint="eastAsia" w:cs="仿宋"/>
          <w:b/>
          <w:bCs/>
          <w:kern w:val="2"/>
          <w:sz w:val="32"/>
          <w:szCs w:val="32"/>
        </w:rPr>
        <w:t>一是推进营商环境法治化。</w:t>
      </w:r>
      <w:r>
        <w:rPr>
          <w:rFonts w:hint="eastAsia" w:cs="仿宋"/>
          <w:kern w:val="2"/>
          <w:sz w:val="32"/>
          <w:szCs w:val="32"/>
        </w:rPr>
        <w:t>组织开展“三高四新•法治护航”专题培训会及政企“面对面</w:t>
      </w:r>
      <w:r>
        <w:rPr>
          <w:rFonts w:hint="eastAsia" w:cs="仿宋"/>
          <w:color w:val="000000" w:themeColor="text1"/>
          <w:kern w:val="2"/>
          <w:sz w:val="32"/>
          <w:szCs w:val="32"/>
        </w:rPr>
        <w:t>”、“万所联万会”等系列专项活动，赠送法律援助公益宣传小礼品10000余份，当面解答法律咨询 1000 余人次，推进民营企业“法治体检”常态化。</w:t>
      </w:r>
      <w:r>
        <w:rPr>
          <w:rFonts w:hint="eastAsia" w:cs="仿宋"/>
          <w:b/>
          <w:bCs/>
          <w:color w:val="000000" w:themeColor="text1"/>
          <w:kern w:val="2"/>
          <w:sz w:val="32"/>
          <w:szCs w:val="32"/>
        </w:rPr>
        <w:t>二是法律援助解群众所难。</w:t>
      </w:r>
      <w:r>
        <w:rPr>
          <w:rFonts w:hint="eastAsia" w:cs="仿宋"/>
          <w:kern w:val="2"/>
          <w:sz w:val="32"/>
          <w:szCs w:val="32"/>
        </w:rPr>
        <w:t>今年，我市法律援助中心</w:t>
      </w:r>
      <w:r>
        <w:rPr>
          <w:rFonts w:hint="eastAsia" w:cs="仿宋"/>
          <w:sz w:val="32"/>
          <w:szCs w:val="32"/>
        </w:rPr>
        <w:t>共办理各类法律援助案件657件，其中民事案件110件，刑事案件321件，法律帮助案件226件，圆满完成省、市交办的民生实事工作任务。</w:t>
      </w:r>
      <w:r>
        <w:rPr>
          <w:rFonts w:hint="eastAsia" w:cs="仿宋"/>
          <w:b/>
          <w:bCs/>
          <w:kern w:val="2"/>
          <w:sz w:val="32"/>
          <w:szCs w:val="32"/>
        </w:rPr>
        <w:t>三是公证服务秉公为民。</w:t>
      </w:r>
      <w:r>
        <w:rPr>
          <w:rFonts w:hint="eastAsia" w:cs="仿宋"/>
          <w:kern w:val="2"/>
          <w:sz w:val="32"/>
          <w:szCs w:val="32"/>
        </w:rPr>
        <w:t>今年以来，我市公证处共计办理公证案件1020件，涉外案件达356件，上门服务案件达412件，总共接待咨询人数达5100余人，为特殊人群减免公证费用2万余元，坚持党建带行建，提升为民服务水平。</w:t>
      </w:r>
    </w:p>
    <w:p w14:paraId="07EB6F17">
      <w:pPr>
        <w:pStyle w:val="11"/>
        <w:spacing w:line="560" w:lineRule="exact"/>
        <w:ind w:firstLine="643"/>
        <w:rPr>
          <w:rFonts w:cs="仿宋"/>
          <w:color w:val="000000" w:themeColor="text1"/>
          <w:kern w:val="2"/>
          <w:sz w:val="32"/>
          <w:szCs w:val="32"/>
        </w:rPr>
      </w:pPr>
      <w:r>
        <w:rPr>
          <w:rFonts w:hint="eastAsia" w:ascii="楷体" w:hAnsi="楷体" w:eastAsia="楷体" w:cs="楷体"/>
          <w:b/>
          <w:bCs/>
          <w:kern w:val="2"/>
          <w:sz w:val="32"/>
          <w:szCs w:val="32"/>
        </w:rPr>
        <w:t>（五）创新普法方式，加强法治宣传。一是普法活动精准对接。</w:t>
      </w:r>
      <w:r>
        <w:rPr>
          <w:rFonts w:hint="eastAsia" w:cs="仿宋"/>
          <w:color w:val="000000" w:themeColor="text1"/>
          <w:kern w:val="2"/>
          <w:sz w:val="32"/>
          <w:szCs w:val="32"/>
        </w:rPr>
        <w:t>依托184名“法治副校长”的宣传队伍，开展普法活动进校园，实现点对点宣传，为未成年人健康成长保驾护航；</w:t>
      </w:r>
      <w:r>
        <w:rPr>
          <w:rFonts w:hint="eastAsia" w:cs="仿宋"/>
          <w:b/>
          <w:bCs/>
          <w:kern w:val="2"/>
          <w:sz w:val="32"/>
          <w:szCs w:val="32"/>
        </w:rPr>
        <w:t>二是抓住重要宣传节点。</w:t>
      </w:r>
      <w:r>
        <w:rPr>
          <w:rFonts w:hint="eastAsia" w:cs="仿宋"/>
          <w:color w:val="000000" w:themeColor="text1"/>
          <w:kern w:val="2"/>
          <w:sz w:val="32"/>
          <w:szCs w:val="32"/>
        </w:rPr>
        <w:t>紧扣“国家安全教育日”、农村法治宣传月、民法典宣传、大学生“送法下乡”等重要节点，开展了形式多样的法治宣传教育活动，共开展各类法治宣传100余场，发放宣传资料51000余份，接受法律咨询300余次，赠送法法治文化环保袋10000余个。</w:t>
      </w:r>
    </w:p>
    <w:p w14:paraId="4ECD1E8B">
      <w:pPr>
        <w:spacing w:line="560" w:lineRule="exact"/>
        <w:ind w:firstLine="643" w:firstLineChars="200"/>
        <w:rPr>
          <w:rFonts w:cs="仿宋"/>
          <w:kern w:val="2"/>
          <w:sz w:val="32"/>
          <w:szCs w:val="32"/>
        </w:rPr>
      </w:pPr>
      <w:r>
        <w:rPr>
          <w:rFonts w:hint="eastAsia" w:ascii="楷体" w:hAnsi="楷体" w:eastAsia="楷体" w:cs="楷体"/>
          <w:b/>
          <w:bCs/>
          <w:kern w:val="2"/>
          <w:sz w:val="32"/>
          <w:szCs w:val="32"/>
        </w:rPr>
        <w:t>（六）提高工作质效，守住安全底线。</w:t>
      </w:r>
      <w:r>
        <w:rPr>
          <w:rFonts w:hint="eastAsia" w:cs="仿宋"/>
          <w:b/>
          <w:bCs/>
          <w:kern w:val="2"/>
          <w:sz w:val="32"/>
          <w:szCs w:val="32"/>
        </w:rPr>
        <w:t>一是扎实推进人民调解工作。</w:t>
      </w:r>
      <w:r>
        <w:rPr>
          <w:rFonts w:hint="eastAsia" w:cs="仿宋"/>
          <w:kern w:val="2"/>
          <w:sz w:val="32"/>
          <w:szCs w:val="32"/>
        </w:rPr>
        <w:t>健全矛盾纠纷多元化解机制，全市共有437个村（社区）调解委员会、人民调解员1340人，全年共排查受理各类矛盾纠纷2495起，调处成功2446起，调解成功率98%以上，案件涉及金额高达5800余万元。今年上半年完成全市130名人民陪审员选任工作，全市各级人民调解委员会上报人民调解“以奖代补”纠</w:t>
      </w:r>
      <w:r>
        <w:rPr>
          <w:rFonts w:hint="eastAsia" w:cs="仿宋"/>
          <w:color w:val="000000" w:themeColor="text1"/>
          <w:kern w:val="2"/>
          <w:sz w:val="32"/>
          <w:szCs w:val="32"/>
        </w:rPr>
        <w:t>纷840余件</w:t>
      </w:r>
      <w:r>
        <w:rPr>
          <w:rFonts w:hint="eastAsia" w:cs="仿宋"/>
          <w:kern w:val="2"/>
          <w:sz w:val="32"/>
          <w:szCs w:val="32"/>
        </w:rPr>
        <w:t>。</w:t>
      </w:r>
      <w:r>
        <w:rPr>
          <w:rFonts w:hint="eastAsia" w:cs="仿宋"/>
          <w:b/>
          <w:bCs/>
          <w:kern w:val="2"/>
          <w:sz w:val="32"/>
          <w:szCs w:val="32"/>
        </w:rPr>
        <w:t>二是扎实推进安置帮教工作。</w:t>
      </w:r>
      <w:r>
        <w:rPr>
          <w:rFonts w:hint="eastAsia" w:cs="仿宋"/>
          <w:kern w:val="2"/>
          <w:sz w:val="32"/>
          <w:szCs w:val="32"/>
        </w:rPr>
        <w:t>落实无缝衔接机制和“必接必送”要求，确保重点刑满释放人员接回率100%。对有重新违法犯罪倾向的安置帮教对象列入重点关注对象，由司法所、村（居）干部组成帮教小组，进行重点帮教。今年累计接收刑满释放人员626人，落实必接必送重点人员55人次。</w:t>
      </w:r>
      <w:r>
        <w:rPr>
          <w:rFonts w:hint="eastAsia" w:cs="仿宋"/>
          <w:b/>
          <w:bCs/>
          <w:kern w:val="2"/>
          <w:sz w:val="32"/>
          <w:szCs w:val="32"/>
        </w:rPr>
        <w:t>三是有序开展社区矫正管理工作。</w:t>
      </w:r>
      <w:r>
        <w:rPr>
          <w:rFonts w:hint="eastAsia" w:cs="仿宋"/>
          <w:kern w:val="2"/>
          <w:sz w:val="32"/>
          <w:szCs w:val="32"/>
        </w:rPr>
        <w:t>截止目前，我市接收社区矫正对象共549人（男性397人、女性152人，未成年矫正对象6人），从惩处情况看，2024年共训诫0人，警告10人，治安管理处罚1人，提请撤销缓刑1人，提请暂予监外执行收监执行4人，再犯罪0人。在册社区矫正对象无漏管、脱管现象，目前无一人出现重新犯罪。</w:t>
      </w:r>
    </w:p>
    <w:p w14:paraId="72DA3BB4">
      <w:pPr>
        <w:overflowPunct w:val="0"/>
        <w:spacing w:line="560" w:lineRule="exact"/>
        <w:ind w:firstLine="1056" w:firstLineChars="330"/>
        <w:rPr>
          <w:rFonts w:ascii="Times New Roman" w:hAnsi="Times New Roman" w:eastAsia="仿宋_GB2312" w:cs="Times New Roman"/>
          <w:color w:val="000000"/>
          <w:sz w:val="32"/>
          <w:szCs w:val="32"/>
        </w:rPr>
      </w:pPr>
    </w:p>
    <w:p w14:paraId="0396EEEE">
      <w:pPr>
        <w:overflowPunct w:val="0"/>
        <w:spacing w:line="560" w:lineRule="exact"/>
        <w:ind w:firstLine="640" w:firstLineChars="200"/>
        <w:rPr>
          <w:rFonts w:ascii="Times New Roman" w:hAnsi="Times New Roman" w:eastAsia="仿宋_GB2312" w:cs="Times New Roman"/>
          <w:color w:val="000000"/>
          <w:sz w:val="32"/>
          <w:szCs w:val="32"/>
        </w:rPr>
      </w:pPr>
    </w:p>
    <w:p w14:paraId="2AF3EEFE">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7BF3A0BA">
      <w:pPr>
        <w:pStyle w:val="11"/>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60239B2B">
      <w:pPr>
        <w:pStyle w:val="11"/>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14:paraId="2B62E111">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1D792DD5">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1A4B78F5">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14:paraId="077222B8">
      <w:pPr>
        <w:pStyle w:val="11"/>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46774A10">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14:paraId="20B87F47">
      <w:pPr>
        <w:pStyle w:val="11"/>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4C13DD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C53A60"/>
    <w:rsid w:val="00011E36"/>
    <w:rsid w:val="000335B6"/>
    <w:rsid w:val="000B2137"/>
    <w:rsid w:val="000B2A19"/>
    <w:rsid w:val="00100CF7"/>
    <w:rsid w:val="00154CD3"/>
    <w:rsid w:val="00182C39"/>
    <w:rsid w:val="001D34DE"/>
    <w:rsid w:val="002150F7"/>
    <w:rsid w:val="002D2F80"/>
    <w:rsid w:val="004075AA"/>
    <w:rsid w:val="00552FAE"/>
    <w:rsid w:val="006556D5"/>
    <w:rsid w:val="006A521F"/>
    <w:rsid w:val="00720386"/>
    <w:rsid w:val="007616CB"/>
    <w:rsid w:val="008C4FBE"/>
    <w:rsid w:val="009F3475"/>
    <w:rsid w:val="00A96F09"/>
    <w:rsid w:val="00AA102A"/>
    <w:rsid w:val="00AE0F45"/>
    <w:rsid w:val="00B33A89"/>
    <w:rsid w:val="00BA0047"/>
    <w:rsid w:val="00C53A60"/>
    <w:rsid w:val="00D036FE"/>
    <w:rsid w:val="00D31D6B"/>
    <w:rsid w:val="00D42617"/>
    <w:rsid w:val="00D56EEA"/>
    <w:rsid w:val="00E1081E"/>
    <w:rsid w:val="00E35FF5"/>
    <w:rsid w:val="00E804E0"/>
    <w:rsid w:val="00EE53AA"/>
    <w:rsid w:val="00F20BE3"/>
    <w:rsid w:val="00FA35EA"/>
    <w:rsid w:val="00FD41D0"/>
    <w:rsid w:val="00FE549A"/>
    <w:rsid w:val="14C75FAD"/>
    <w:rsid w:val="1CDD28FB"/>
    <w:rsid w:val="2D6B5C4A"/>
    <w:rsid w:val="3E634A32"/>
    <w:rsid w:val="493F20C4"/>
    <w:rsid w:val="509A19E6"/>
    <w:rsid w:val="5BA069F2"/>
    <w:rsid w:val="66342B59"/>
    <w:rsid w:val="68D3189C"/>
    <w:rsid w:val="758A46C1"/>
    <w:rsid w:val="768F1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sz w:val="28"/>
      <w:szCs w:val="2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sz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列出段落1"/>
    <w:basedOn w:val="1"/>
    <w:qFormat/>
    <w:uiPriority w:val="0"/>
    <w:pPr>
      <w:ind w:firstLine="420" w:firstLineChars="200"/>
    </w:pPr>
    <w:rPr>
      <w:rFonts w:ascii="Calibri" w:hAnsi="Calibri" w:eastAsia="宋体" w:cs="Calibri"/>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3506</Words>
  <Characters>3773</Characters>
  <Lines>27</Lines>
  <Paragraphs>7</Paragraphs>
  <TotalTime>12</TotalTime>
  <ScaleCrop>false</ScaleCrop>
  <LinksUpToDate>false</LinksUpToDate>
  <CharactersWithSpaces>3780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word</cp:lastModifiedBy>
  <cp:lastPrinted>2025-08-27T01:02:00Z</cp:lastPrinted>
  <dcterms:modified xsi:type="dcterms:W3CDTF">2025-09-02T02:02:32Z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eyJoZGlkIjoiMDZhNDNmOTJmNzIzMTRhNDgzYmMwN2RkOTAyNTdlNjUiLCJ1c2VySWQiOiIyMzQ4MjExNzgifQ==</vt:lpwstr>
  </property>
  <property fmtid="{D5CDD505-2E9C-101B-9397-08002B2CF9AE}" pid="3" name="KSOProductBuildVer">
    <vt:lpwstr>2052-12.1.0.21915</vt:lpwstr>
  </property>
  <property fmtid="{D5CDD505-2E9C-101B-9397-08002B2CF9AE}" pid="4" name="ICV">
    <vt:lpwstr>DCE81FFFAEAF4182ABE81A8C7C5CF76D_12</vt:lpwstr>
  </property>
</Properties>
</file>