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4EC8">
      <w:pPr>
        <w:widowControl/>
        <w:shd w:val="clear" w:color="auto" w:fill="FFFFFF"/>
        <w:spacing w:line="480" w:lineRule="auto"/>
        <w:ind w:firstLine="1807" w:firstLineChars="50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常宁市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重点建设项目事务中心</w:t>
      </w:r>
    </w:p>
    <w:p w14:paraId="5BBC8FBB">
      <w:pPr>
        <w:widowControl/>
        <w:shd w:val="clear" w:color="auto" w:fill="FFFFFF"/>
        <w:spacing w:line="480" w:lineRule="auto"/>
        <w:ind w:firstLine="1446" w:firstLineChars="40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年度整体支出绩效自评报告</w:t>
      </w:r>
    </w:p>
    <w:p w14:paraId="730378F5">
      <w:pPr>
        <w:widowControl w:val="0"/>
        <w:adjustRightInd w:val="0"/>
        <w:snapToGrid w:val="0"/>
        <w:spacing w:after="0" w:line="570" w:lineRule="exact"/>
        <w:jc w:val="center"/>
        <w:outlineLvl w:val="0"/>
        <w:rPr>
          <w:rFonts w:ascii="Times New Roman" w:hAnsi="仿宋" w:eastAsia="方正小标宋简体"/>
          <w:snapToGrid w:val="0"/>
          <w:sz w:val="44"/>
        </w:rPr>
      </w:pPr>
    </w:p>
    <w:p w14:paraId="48A96AB3">
      <w:pPr>
        <w:widowControl/>
        <w:shd w:val="clear" w:color="auto" w:fill="FFFFFF"/>
        <w:spacing w:line="480" w:lineRule="auto"/>
        <w:ind w:firstLine="640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根据《常宁市关于转发&lt;湖南省预算绩效目标管理办法&gt;的通知》（常财绩[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]57号）文件精神，我单位对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年整体支出绩效进行了全面综合评价，现将有关情况报告如下：</w:t>
      </w:r>
    </w:p>
    <w:p w14:paraId="0FF184CF">
      <w:pPr>
        <w:widowControl/>
        <w:shd w:val="clear" w:color="auto" w:fill="FFFFFF"/>
        <w:spacing w:line="480" w:lineRule="auto"/>
        <w:ind w:firstLine="643" w:firstLineChars="200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一、部门概况</w:t>
      </w:r>
    </w:p>
    <w:p w14:paraId="3642D729">
      <w:pPr>
        <w:widowControl/>
        <w:shd w:val="clear" w:color="auto" w:fill="FFFFFF"/>
        <w:spacing w:line="480" w:lineRule="auto"/>
        <w:ind w:firstLine="640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（一）部门基本情况</w:t>
      </w:r>
    </w:p>
    <w:p w14:paraId="2C24E90A">
      <w:pPr>
        <w:widowControl/>
        <w:shd w:val="clear" w:color="auto" w:fill="FFFFFF"/>
        <w:spacing w:line="480" w:lineRule="auto"/>
        <w:ind w:firstLine="640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重点建设项目事务中心（原重点工程建设管理办公室）在2017年12月20日经市编办批准成立，为常宁市政府直属正科级公益一类事业单位。主要负责重点建设项目前期推进、重点建设项目协调服务与事务性工作。根据职责，单位内设综合股、项目前期股、项目代建股、项目推进股4个机构。核定全额拨款事业编制12名，目前在编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人。</w:t>
      </w:r>
    </w:p>
    <w:p w14:paraId="28584F8C">
      <w:pPr>
        <w:widowControl/>
        <w:shd w:val="clear" w:color="auto" w:fill="FFFFFF"/>
        <w:spacing w:line="480" w:lineRule="auto"/>
        <w:ind w:firstLine="640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（二）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年本部门整体支出规模与使用方向</w:t>
      </w:r>
    </w:p>
    <w:p w14:paraId="55211647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年，本部门年初预算支出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116.83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减少28.12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下降19.40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增加变化的主要原因是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和人员经费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。其中：基本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81.83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减少20.12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19.73%。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项目支出年初预算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万元，比上年减少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%。年度执行中因单位人数变动及单位事权调整，预算跟随调整情况。</w:t>
      </w:r>
    </w:p>
    <w:p w14:paraId="2F049F1E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“三公”经费支出情况：202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年，“三公”经费完成0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万元，比上年减少0.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%，增减变化的主要原因是：厉行节约，压减公务接待费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。其中：因公出国（境）费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完成0万元，比上年增减0万元，增加下降0%，增减变化的主要原因是：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；公务接待费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万元，比上年减少0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万元，降低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%，增减变化的主要原因是：厉行节约，压减公务接待费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；公务用车购置及运行维护费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完成0万元，比上年增减0万元，增加下降0%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</w:t>
      </w:r>
    </w:p>
    <w:p w14:paraId="35778C88">
      <w:pPr>
        <w:widowControl/>
        <w:shd w:val="clear" w:color="auto" w:fill="FFFFFF"/>
        <w:spacing w:line="480" w:lineRule="auto"/>
        <w:ind w:firstLine="643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二、部门整体支出自评情况</w:t>
      </w:r>
    </w:p>
    <w:p w14:paraId="1CDC4E75">
      <w:pPr>
        <w:widowControl/>
        <w:shd w:val="clear" w:color="auto" w:fill="FFFFFF"/>
        <w:spacing w:line="480" w:lineRule="auto"/>
        <w:ind w:firstLine="560" w:firstLineChars="200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一）预算配置</w:t>
      </w:r>
    </w:p>
    <w:p w14:paraId="20D4A1F6">
      <w:pPr>
        <w:widowControl/>
        <w:shd w:val="clear" w:color="auto" w:fill="FFFFFF"/>
        <w:spacing w:line="480" w:lineRule="auto"/>
        <w:ind w:firstLine="640" w:firstLineChars="2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重点建设项目事务中心为全额拨款事业单位，核定编制数12名，实有在编人员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名。</w:t>
      </w:r>
    </w:p>
    <w:p w14:paraId="1BE18AC5">
      <w:pPr>
        <w:pStyle w:val="4"/>
        <w:tabs>
          <w:tab w:val="left" w:pos="420"/>
        </w:tabs>
        <w:spacing w:line="480" w:lineRule="auto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部门收支情况</w:t>
      </w:r>
    </w:p>
    <w:p w14:paraId="26125598">
      <w:pPr>
        <w:pStyle w:val="4"/>
        <w:tabs>
          <w:tab w:val="left" w:pos="420"/>
        </w:tabs>
        <w:spacing w:line="480" w:lineRule="auto"/>
        <w:ind w:firstLine="640" w:firstLineChars="200"/>
        <w:rPr>
          <w:rFonts w:hint="eastAsia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本单位</w:t>
      </w:r>
      <w:r>
        <w:rPr>
          <w:rFonts w:hint="eastAsia" w:cs="宋体"/>
          <w:sz w:val="32"/>
          <w:szCs w:val="32"/>
          <w:lang w:eastAsia="zh-CN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年度收入总计</w:t>
      </w:r>
      <w:r>
        <w:rPr>
          <w:rFonts w:hint="eastAsia" w:cs="宋体"/>
          <w:sz w:val="32"/>
          <w:szCs w:val="32"/>
          <w:lang w:val="en-US" w:eastAsia="zh-CN"/>
        </w:rPr>
        <w:t>134.47</w:t>
      </w:r>
      <w:r>
        <w:rPr>
          <w:rFonts w:hint="eastAsia" w:ascii="宋体" w:hAnsi="宋体" w:eastAsia="宋体" w:cs="宋体"/>
          <w:sz w:val="32"/>
          <w:szCs w:val="32"/>
        </w:rPr>
        <w:t>万元，其中财政拨款收入</w:t>
      </w:r>
      <w:r>
        <w:rPr>
          <w:rFonts w:hint="eastAsia" w:cs="宋体"/>
          <w:sz w:val="32"/>
          <w:szCs w:val="32"/>
          <w:lang w:val="en-US" w:eastAsia="zh-CN"/>
        </w:rPr>
        <w:t>112.86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全年总支出</w:t>
      </w:r>
      <w:r>
        <w:rPr>
          <w:rFonts w:hint="eastAsia" w:cs="宋体"/>
          <w:sz w:val="32"/>
          <w:szCs w:val="32"/>
          <w:lang w:val="en-US" w:eastAsia="zh-CN"/>
        </w:rPr>
        <w:t>134.47</w:t>
      </w:r>
      <w:r>
        <w:rPr>
          <w:rFonts w:hint="eastAsia" w:ascii="宋体" w:hAnsi="宋体" w:eastAsia="宋体" w:cs="宋体"/>
          <w:sz w:val="32"/>
          <w:szCs w:val="32"/>
        </w:rPr>
        <w:t>万元,（其中基本支出为</w:t>
      </w:r>
      <w:r>
        <w:rPr>
          <w:rFonts w:hint="eastAsia" w:cs="宋体"/>
          <w:color w:val="333333"/>
          <w:kern w:val="0"/>
          <w:sz w:val="32"/>
          <w:szCs w:val="32"/>
          <w:lang w:val="en-US" w:eastAsia="zh-CN"/>
        </w:rPr>
        <w:t>63.46</w:t>
      </w:r>
      <w:r>
        <w:rPr>
          <w:rFonts w:hint="eastAsia" w:ascii="宋体" w:hAnsi="宋体" w:eastAsia="宋体" w:cs="宋体"/>
          <w:sz w:val="32"/>
          <w:szCs w:val="32"/>
        </w:rPr>
        <w:t>万元，项目支出</w:t>
      </w:r>
      <w:r>
        <w:rPr>
          <w:rFonts w:hint="eastAsia" w:cs="宋体"/>
          <w:color w:val="333333"/>
          <w:kern w:val="0"/>
          <w:sz w:val="32"/>
          <w:szCs w:val="32"/>
          <w:lang w:val="en-US" w:eastAsia="zh-CN"/>
        </w:rPr>
        <w:t>71.01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cs="宋体"/>
          <w:sz w:val="32"/>
          <w:szCs w:val="32"/>
          <w:lang w:eastAsia="zh-CN"/>
        </w:rPr>
        <w:t>）</w:t>
      </w:r>
    </w:p>
    <w:p w14:paraId="6EFDE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三、2024年工作成果</w:t>
      </w:r>
    </w:p>
    <w:p w14:paraId="64709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（一）聚焦主业主责，发展实力更加强劲。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2024年，常宁市实际推进单体项目58个（含打捆子项目17个），总投资达315.2亿元，年度计划投资115.1亿元。项目涵盖省级1个、市级28个、本级29个。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产业项目方面：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实施12个，其中服饰园一期已全面完成并入驻企业32家，6家正式投产；环保园一期已建成并入驻26家企业；仓茂特玻璃等4个项目竣工投产；金紫宇化学品等2个项目试投产；水口山铜铅锌二期等6个项目正有序建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农业项目方面：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国家储备林开发、油茶产业等项目已竣工；100万头牲猪标准化养殖项目完成90%；冠翔农业等项目正在进行三通一平施工。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民生项目方面：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常宁一中“徐特立”项目已竣工使用；茶常高速公路等5个项目有序实施；中心医院、生活垃圾焚烧发电等项目已启动开工。</w:t>
      </w:r>
    </w:p>
    <w:p w14:paraId="1A317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聚焦入库入统，项目成效更显支撑。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系统梳理项目入库要件，扎实做好业务指导、资料审核、实地核查等各项工作。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一是做到应统尽统。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积极协调提请衡阳市重点办，推动衡阳市“五制一平台”重点项目26个，其中省重点项目1个，总投资168.6亿元，年度计划投资74.9亿元。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实际开复工26个，兑现开复工率100%；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已完成投资88.6亿元，占年度计划118.2%；其中，8个项目超额完成时序进度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二是确保颗粒归仓。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配合发改部门抓好固定资产投资，全市投资5000万元及以上统计联网直报在库项目89个，已完成投资146.4亿元，占全市固定资产投资83.28%，较去年同期增长22.12%。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三是突出特色亮点。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于2月20日、4月24日分别成功举办衡阳市2024年一季度重大项目集中开工仪式、衡阳市2024年一季度重大项目现场观摩会，并在观摩会上充分展现我市项目建设情况，获得与会人员好评。</w:t>
      </w:r>
    </w:p>
    <w:p w14:paraId="0693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（三）聚焦服务质量，营商环境更加优质。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配合落实常宁市“136”营商环境工作机制。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一是解决难点堵点。</w:t>
      </w:r>
      <w:r>
        <w:rPr>
          <w:rFonts w:hint="eastAsia" w:ascii="仿宋" w:hAnsi="仿宋" w:eastAsia="仿宋" w:cs="仿宋"/>
          <w:sz w:val="32"/>
          <w:szCs w:val="32"/>
        </w:rPr>
        <w:t>通过会同协商、共同办理以及“群腐”工作等三大举措，有效解决了企业在项目推进过程中遇到的困难和问题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。如中心通过与相关部门负责人沟通协商，将金辰新材料项目高压杆线搬迁的问题纳入2024年度公益项目计划，进一步推动项目实施；为加快推进常宁市“风光水储一体化示范项目”的落地实施，中心积极提请市人民政府办公室向省能源局行文申请，配合三峡集团成功申报2024年省重点推进风力发电和光伏发电项目，为项目推进提供了有力支持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二是建立涉企问题台账。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与各乡镇（街道）加强沟通，实时更新台账，及时反馈问题，促进营商环境优化。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三是拟定容缺受理措施框架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营造便捷高效的政务环境，我中心初步拟定了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重点项目容缺受理措施框架。</w:t>
      </w:r>
    </w:p>
    <w:p w14:paraId="65791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四、存在问题和原因分析</w:t>
      </w:r>
    </w:p>
    <w:p w14:paraId="4146954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firstLine="640" w:firstLineChars="200"/>
        <w:contextualSpacing w:val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尽管取得了一定成绩，但仍面临诸多挑战。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一是项目融资较难。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受国家宏观政策调控影响，银行信贷规模严格控制，部分重点项目后续资金紧缺，如G234、G356公路等项目。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二是项目储备不足。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达到衡阳市重点项目标准规模的项目数量少，能及时开工建设的项目更少。明年储备项目压力更大，达产项目不多，可供观摩的项目有限。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三是固定资产投资后劲乏力。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上级对省市重点项目的支持政策不够多、力度不够大，导致重点项目入库入统积极性不高。新开工项目少，符合统计联网直报条件的项目也不多，投资五千万元以上的开工项目数量少，后续增长动力不足。</w:t>
      </w:r>
    </w:p>
    <w:p w14:paraId="7B639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五、2025年工作打算</w:t>
      </w:r>
    </w:p>
    <w:p w14:paraId="22AE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（一）全面谋划，强化项目包装。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第一批“五制一平台”重点建设项目17个，涉及电力、农业、工业、基础设施等多个领域。各项目需按年度投资计划和形象进度执行，确保按时、高质量完成。同时，要围绕国家和省市重大战略布局，精心策划包装项目，力争下半年将更多项目纳入省市计划，转化为高质量发展的动力。</w:t>
      </w:r>
    </w:p>
    <w:p w14:paraId="56102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（二）疏通瓶颈，加速项目落地。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项目建设中的瓶颈问题，需精准定位阻碍项目进展的根源，积极协调发改局等部门解决土地审批、拆迁安置、手续完善等难题。强化项目进度月报机制，确保新建项目高效启动，续建项目投资稳步增长。对于未开工项目，与相关部门紧密协作，推动项目单位加快落实开工条件。</w:t>
      </w:r>
    </w:p>
    <w:p w14:paraId="2412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（三）汇聚力量，稳固增长态势。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发改局、统计局的联动，精准监测固定资产投资，确保重点项目数据全面、准确、及时上报。针对联网直报中的问题，组织跨部门沟通会议，为项目顺利入统入库提供保障，确保全市5000万元以上项目固定资产投资持续增长。</w:t>
      </w:r>
    </w:p>
    <w:p w14:paraId="56578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（四）疏通堵点，推动项目建设。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《常宁市重点建设项目管理办法》，运用“136”营商环境工作机制，发现并解决项目建设中的突出问题。剖析项目推进滞后的原因，提高行政效能，为项目建设提供便捷服务，力促市重点项目完成投资同比增长。同时，构建亲清政商关系，建立健全政商沟通机制，帮助企业解决实际困难，规范政商交往行为。</w:t>
      </w:r>
    </w:p>
    <w:p w14:paraId="01A1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（五）压实责任，确保高效执行。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创新实干的工作作风，单位上下要“不折不扣、雷厉风行、求真务实、敢作善为”地抓落实，以时不我待的精神投入工作。明确责任分工，细化目标任务，确保“五制一平台”相关工作与固定资产投资工作双轨并进，形成上下一心、齐抓共管的良好局面，确保圆满达成年度目标任务。</w:t>
      </w:r>
    </w:p>
    <w:p w14:paraId="4B4196EB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29028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0DBCE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DD6DC7"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常宁市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重点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建设项目事务中心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41EBB"/>
    <w:rsid w:val="01727323"/>
    <w:rsid w:val="04EC4D90"/>
    <w:rsid w:val="05FE4192"/>
    <w:rsid w:val="070E507D"/>
    <w:rsid w:val="07F058F8"/>
    <w:rsid w:val="08A41020"/>
    <w:rsid w:val="0A96708F"/>
    <w:rsid w:val="0CBA3508"/>
    <w:rsid w:val="0DB066B9"/>
    <w:rsid w:val="11B06D36"/>
    <w:rsid w:val="13DD7ADC"/>
    <w:rsid w:val="162205F9"/>
    <w:rsid w:val="1D6F3E9B"/>
    <w:rsid w:val="1D9907BA"/>
    <w:rsid w:val="1E8D0D0E"/>
    <w:rsid w:val="22582DE6"/>
    <w:rsid w:val="236C6787"/>
    <w:rsid w:val="240C3CC9"/>
    <w:rsid w:val="26865DB2"/>
    <w:rsid w:val="28EC1A62"/>
    <w:rsid w:val="2CD80544"/>
    <w:rsid w:val="2DAA6942"/>
    <w:rsid w:val="30004E27"/>
    <w:rsid w:val="301D260D"/>
    <w:rsid w:val="310224D9"/>
    <w:rsid w:val="343705F5"/>
    <w:rsid w:val="3626425B"/>
    <w:rsid w:val="3E246184"/>
    <w:rsid w:val="3F4F475C"/>
    <w:rsid w:val="3FA70E1B"/>
    <w:rsid w:val="40DB5220"/>
    <w:rsid w:val="42A00388"/>
    <w:rsid w:val="46054AED"/>
    <w:rsid w:val="491E3987"/>
    <w:rsid w:val="4A9B5A20"/>
    <w:rsid w:val="4D13189E"/>
    <w:rsid w:val="4E6879C7"/>
    <w:rsid w:val="4F302BDB"/>
    <w:rsid w:val="50BA27A0"/>
    <w:rsid w:val="529945F3"/>
    <w:rsid w:val="535B7AFB"/>
    <w:rsid w:val="547C5F7A"/>
    <w:rsid w:val="54FC530D"/>
    <w:rsid w:val="551F0ADE"/>
    <w:rsid w:val="56666B5B"/>
    <w:rsid w:val="58D2260D"/>
    <w:rsid w:val="5BB1383B"/>
    <w:rsid w:val="5DCF3ABE"/>
    <w:rsid w:val="6390559E"/>
    <w:rsid w:val="65444892"/>
    <w:rsid w:val="65851880"/>
    <w:rsid w:val="66FE3167"/>
    <w:rsid w:val="6A0A597F"/>
    <w:rsid w:val="6D172A07"/>
    <w:rsid w:val="6D3451EC"/>
    <w:rsid w:val="712E6051"/>
    <w:rsid w:val="740B2A1F"/>
    <w:rsid w:val="763D7808"/>
    <w:rsid w:val="766059C7"/>
    <w:rsid w:val="78677365"/>
    <w:rsid w:val="79F503F9"/>
    <w:rsid w:val="7A951153"/>
    <w:rsid w:val="7BA67BFD"/>
    <w:rsid w:val="7BED75DA"/>
    <w:rsid w:val="7BF41EBB"/>
    <w:rsid w:val="7ED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eastAsia"/>
      <w:sz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_a6"/>
    <w:basedOn w:val="8"/>
    <w:qFormat/>
    <w:uiPriority w:val="0"/>
    <w:pPr>
      <w:ind w:firstLine="200"/>
    </w:pPr>
  </w:style>
  <w:style w:type="paragraph" w:customStyle="1" w:styleId="8">
    <w:name w:val="p"/>
    <w:basedOn w:val="1"/>
    <w:qFormat/>
    <w:uiPriority w:val="0"/>
  </w:style>
  <w:style w:type="character" w:customStyle="1" w:styleId="9">
    <w:name w:val="span_a6"/>
    <w:basedOn w:val="6"/>
    <w:qFormat/>
    <w:uiPriority w:val="0"/>
    <w:rPr>
      <w:rFonts w:ascii="等线 Light" w:hAnsi="等线 Light" w:eastAsia="等线 Light" w:cs="等线 Ligh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2691</Words>
  <Characters>2897</Characters>
  <Lines>0</Lines>
  <Paragraphs>0</Paragraphs>
  <TotalTime>0</TotalTime>
  <ScaleCrop>false</ScaleCrop>
  <LinksUpToDate>false</LinksUpToDate>
  <CharactersWithSpaces>2898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2024-12-25T01:25:00Z</dcterms:created>
  <dc:creator>willna</dc:creator>
  <cp:lastModifiedBy>廖丽花</cp:lastModifiedBy>
  <dcterms:modified xsi:type="dcterms:W3CDTF">2025-04-15T10:20:41Z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F850F580E6C044A98BB0E8434BCC5040_13</vt:lpwstr>
  </property>
  <property fmtid="{D5CDD505-2E9C-101B-9397-08002B2CF9AE}" pid="4" name="KSOTemplateDocerSaveRecord">
    <vt:lpwstr>eyJoZGlkIjoiNWNjMzg2Zjg3YjhkNjM5MDQyYjdlYzQ0YzhmYWI1MjQiLCJ1c2VySWQiOiI5MjYwODg4MzQifQ==</vt:lpwstr>
  </property>
</Properties>
</file>