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10CF1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28B111D5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29EF0746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695B1C59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E98569B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bookmarkStart w:id="0" w:name="OLE_LINK3"/>
      <w:r>
        <w:rPr>
          <w:rFonts w:ascii="Times New Roman" w:hAnsi="Times New Roman" w:eastAsia="方正小标宋_GBK" w:cs="Times New Roman"/>
          <w:sz w:val="52"/>
          <w:szCs w:val="52"/>
        </w:rPr>
        <w:t>2024</w:t>
      </w:r>
      <w:r>
        <w:rPr>
          <w:rFonts w:ascii="方正小标宋_GBK" w:hAnsi="Times New Roman" w:eastAsia="方正小标宋_GBK" w:cs="Times New Roman"/>
          <w:sz w:val="52"/>
          <w:szCs w:val="52"/>
        </w:rPr>
        <w:t>年</w:t>
      </w:r>
      <w:r>
        <w:rPr>
          <w:rFonts w:hint="eastAsia" w:ascii="方正小标宋_GBK" w:hAnsi="Times New Roman" w:eastAsia="方正小标宋_GBK" w:cs="Times New Roman"/>
          <w:sz w:val="52"/>
          <w:szCs w:val="52"/>
        </w:rPr>
        <w:t>度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常宁市西岭镇人民政府</w:t>
      </w:r>
      <w:r>
        <w:rPr>
          <w:rFonts w:ascii="方正小标宋_GBK" w:hAnsi="Times New Roman" w:eastAsia="方正小标宋_GBK" w:cs="Times New Roman"/>
          <w:sz w:val="52"/>
          <w:szCs w:val="52"/>
        </w:rPr>
        <w:t>部门整体支出绩效自评报告</w:t>
      </w:r>
    </w:p>
    <w:bookmarkEnd w:id="0"/>
    <w:p w14:paraId="220A2AA1"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 xml:space="preserve"> </w:t>
      </w:r>
    </w:p>
    <w:p w14:paraId="5A0BE73F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79554569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6AB4060A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740A0ECB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13BC17DE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5D9D14C0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DC96C0F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47109521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CF744E0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5FB12F9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</w:p>
    <w:p w14:paraId="0F31E4C0">
      <w:pPr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常宁市西岭镇人民政府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 w14:paraId="2568E5BE">
      <w:pPr>
        <w:spacing w:line="600" w:lineRule="exact"/>
        <w:ind w:firstLine="3200" w:firstLineChars="10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2</w:t>
      </w:r>
      <w:r>
        <w:rPr>
          <w:rFonts w:ascii="楷体_GB2312" w:hAnsi="Times New Roman" w:eastAsia="楷体_GB2312" w:cs="Times New Roman"/>
          <w:sz w:val="32"/>
          <w:szCs w:val="32"/>
        </w:rPr>
        <w:t>025年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3 </w:t>
      </w:r>
      <w:r>
        <w:rPr>
          <w:rFonts w:ascii="楷体_GB2312" w:hAnsi="Times New Roman" w:eastAsia="楷体_GB2312" w:cs="Times New Roman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28 </w:t>
      </w:r>
      <w:r>
        <w:rPr>
          <w:rFonts w:ascii="楷体_GB2312" w:hAnsi="Times New Roman" w:eastAsia="楷体_GB2312" w:cs="Times New Roman"/>
          <w:sz w:val="32"/>
          <w:szCs w:val="32"/>
        </w:rPr>
        <w:t>日</w:t>
      </w:r>
    </w:p>
    <w:p w14:paraId="2807F362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171155B6">
      <w:pPr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5B19129C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度常宁市西岭镇人民政府</w:t>
      </w:r>
      <w:r>
        <w:rPr>
          <w:rFonts w:ascii="方正小标宋_GBK" w:hAnsi="Times New Roman" w:eastAsia="方正小标宋_GBK" w:cs="Times New Roman"/>
          <w:sz w:val="44"/>
          <w:szCs w:val="44"/>
        </w:rPr>
        <w:t>部门整体支出绩效自评报告</w:t>
      </w:r>
    </w:p>
    <w:p w14:paraId="113E596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8B9BABE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65BFC9BD"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36230D5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1．主要职能。</w:t>
      </w:r>
    </w:p>
    <w:p w14:paraId="5530370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1、执行本级人民代表大会的决议和上级国家机关的决定和命令。</w:t>
      </w:r>
    </w:p>
    <w:p w14:paraId="7F6F985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2、组织实施本行政区域内的经济和社会发展长远规划及短期计划。</w:t>
      </w:r>
    </w:p>
    <w:p w14:paraId="27F6EE5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3、制定并实施扶贫攻坚规划，抓好扶贫工作，带领全镇人民尽快脱贫致富奔小康。</w:t>
      </w:r>
    </w:p>
    <w:p w14:paraId="6C65E9F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4、大力加强农业和农村工作，抓好农业基础设施建设，促进粮食生产稳步发展。充分利用本地资源，加快全镇产业结构调整步伐，抓好骨干产业的巩固和发展，培育后续产业，不断壮大地方经济实力。</w:t>
      </w:r>
    </w:p>
    <w:p w14:paraId="143970B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5、负责管理好各职能部门，充分发挥他们的职能作用，保证各项行政工作的正常开展。</w:t>
      </w:r>
    </w:p>
    <w:p w14:paraId="7267EFB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</w:t>
      </w:r>
      <w:r>
        <w:rPr>
          <w:rFonts w:hint="eastAsia" w:cs="仿宋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6、负责保护公有财产不受侵占，维护社会秩序，保障公民的人身权利和合法权益。</w:t>
      </w:r>
    </w:p>
    <w:p w14:paraId="4FBF2B2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7、负责制定全镇山、水、林、田、路的长远规划和短期计划，并具体组织实施，做到综合治理、综合开发利用。</w:t>
      </w:r>
    </w:p>
    <w:p w14:paraId="749ED88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 8、组织和领导当地人民搞好商品生产，发展商品经济，增减群众收入，加快全镇经济发展。</w:t>
      </w:r>
    </w:p>
    <w:p w14:paraId="388B3CC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 9、加大科技、教育、文化、卫生等事业的发展力度，促进社会全面进步。</w:t>
      </w:r>
    </w:p>
    <w:p w14:paraId="17CFDC3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 10、承办并完成上级人民政府交办的其他工作。</w:t>
      </w:r>
    </w:p>
    <w:p w14:paraId="4B4CB11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2．内设机构设置。</w:t>
      </w:r>
    </w:p>
    <w:p w14:paraId="5E39DF5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2024年本单位由党政综合办公室、农业综合服务中心、政务服务中心、社会事务综合服务中心、综合行政执法大队、自然资源和生态环境办公室组成。</w:t>
      </w:r>
    </w:p>
    <w:p w14:paraId="2464F49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人员情况。</w:t>
      </w:r>
    </w:p>
    <w:p w14:paraId="570F92F9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2024年本单位年末实有人数74人。</w:t>
      </w:r>
    </w:p>
    <w:p w14:paraId="44170DE8">
      <w:pPr>
        <w:spacing w:line="600" w:lineRule="exact"/>
        <w:ind w:firstLine="42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2B912B91">
      <w:pPr>
        <w:pStyle w:val="10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7B89D42D">
      <w:pPr>
        <w:pStyle w:val="9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 w14:paraId="369A011F">
      <w:pPr>
        <w:pStyle w:val="9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13FBFBE9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826.78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752.87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73.90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2C204806">
      <w:pPr>
        <w:pStyle w:val="9"/>
        <w:widowControl/>
        <w:spacing w:line="600" w:lineRule="exact"/>
        <w:ind w:firstLine="643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1AD5BB67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2024年度项目支出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1356.36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</w:t>
      </w:r>
      <w:r>
        <w:rPr>
          <w:rFonts w:hint="eastAsia" w:ascii="宋体" w:hAnsi="宋体" w:eastAsia="宋体"/>
          <w:sz w:val="32"/>
          <w:szCs w:val="32"/>
        </w:rPr>
        <w:t>具体支出如下表：</w:t>
      </w:r>
    </w:p>
    <w:p w14:paraId="7EA71AAE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tbl>
      <w:tblPr>
        <w:tblW w:w="6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6"/>
        <w:gridCol w:w="1096"/>
      </w:tblGrid>
      <w:tr w14:paraId="51AF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2C61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5B21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金额（万元）</w:t>
            </w:r>
          </w:p>
        </w:tc>
      </w:tr>
      <w:tr w14:paraId="59B3E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4570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9931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1,356.36</w:t>
            </w:r>
          </w:p>
        </w:tc>
      </w:tr>
      <w:tr w14:paraId="495C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05B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2021年年度单位绩效考核奖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18E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</w:t>
            </w:r>
          </w:p>
        </w:tc>
      </w:tr>
      <w:tr w14:paraId="2097B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07A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治超经费1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175D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</w:tr>
      <w:tr w14:paraId="39471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DB0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城乡居民医保缴费工作经费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5B7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6.80</w:t>
            </w:r>
          </w:p>
        </w:tc>
      </w:tr>
      <w:tr w14:paraId="6ED3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574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推进项目工作经费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67D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</w:t>
            </w:r>
          </w:p>
        </w:tc>
      </w:tr>
      <w:tr w14:paraId="50B3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A50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2024年乡镇纪检监察工作经费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F48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</w:tr>
      <w:tr w14:paraId="4C281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F70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2024年城乡居民参保筹资工作及奖励经费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FE2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15.21</w:t>
            </w:r>
          </w:p>
        </w:tc>
      </w:tr>
      <w:tr w14:paraId="48A41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EEE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民生调查考核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CAC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1.50</w:t>
            </w:r>
          </w:p>
        </w:tc>
      </w:tr>
      <w:tr w14:paraId="6243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11D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乡村便民服务中心及六小建设（大洪村）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FE5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3.16</w:t>
            </w:r>
          </w:p>
        </w:tc>
      </w:tr>
      <w:tr w14:paraId="4218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64E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2024年乡镇补助经费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E52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62.84</w:t>
            </w:r>
          </w:p>
        </w:tc>
      </w:tr>
      <w:tr w14:paraId="178F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AE1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2023年度乡镇（街道）统战工作经费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1B8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2.40</w:t>
            </w:r>
          </w:p>
        </w:tc>
      </w:tr>
      <w:tr w14:paraId="2303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F10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农业保险工作费用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7CF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</w:tr>
      <w:tr w14:paraId="172B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C91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补助经费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8F8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</w:tr>
      <w:tr w14:paraId="282F3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6B9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2023年城乡居民参保筹资工作奖励经费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F5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5.03</w:t>
            </w:r>
          </w:p>
        </w:tc>
      </w:tr>
      <w:tr w14:paraId="7D72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F8E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治超经费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C08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2.69</w:t>
            </w:r>
          </w:p>
        </w:tc>
      </w:tr>
      <w:tr w14:paraId="26A3F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CD5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2023年人大代表联络站建设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362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</w:tr>
      <w:tr w14:paraId="5E5D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FE6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第五次全国经济普查“两员”补贴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6FD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3.11</w:t>
            </w:r>
          </w:p>
        </w:tc>
      </w:tr>
      <w:tr w14:paraId="08DAE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F4E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2023年乡镇财政目标管理考核先进单位奖励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AAB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</w:tr>
      <w:tr w14:paraId="20D3E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CC1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2022年乡镇财政管理考核先进单位奖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923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</w:tr>
      <w:tr w14:paraId="3FCBA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F5B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2022年度普惠金融工作补助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8D1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</w:tr>
      <w:tr w14:paraId="301E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5A3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石江村财源建设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33B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660F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C43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西岭镇2023年武装工作经费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3DD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6202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1B4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烟叶生产发展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332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17.00</w:t>
            </w:r>
          </w:p>
        </w:tc>
      </w:tr>
      <w:tr w14:paraId="20CC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9BF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2023年烟叶生产发展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4D5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283.00</w:t>
            </w:r>
          </w:p>
        </w:tc>
      </w:tr>
      <w:tr w14:paraId="6775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57E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2023年烟叶生产“两金两费”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CBF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</w:tr>
      <w:tr w14:paraId="4544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C61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烟叶生产发展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0B9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57.00</w:t>
            </w:r>
          </w:p>
        </w:tc>
      </w:tr>
      <w:tr w14:paraId="0ED7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723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公共图书馆文化馆免费开放专项资金（西岭）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BD3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</w:tr>
      <w:tr w14:paraId="5428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15F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2023年旅游发展引导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BE5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4174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FCF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2023年文化和旅游专项资金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5E0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</w:tr>
      <w:tr w14:paraId="388E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ED7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西岭镇乡村文化旅游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112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46A8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ABD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三馆一站省级专项资金（大洪村2万，桐江村3万）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3128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</w:tr>
      <w:tr w14:paraId="176F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30E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西岭镇2022年旅游发展专项资金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9F8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1DA5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662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2023年公共文化服务体系建设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A6A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</w:tr>
      <w:tr w14:paraId="0F8D0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EFB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2023年居委会补助及社区惠民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212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10.51</w:t>
            </w:r>
          </w:p>
        </w:tc>
      </w:tr>
      <w:tr w14:paraId="39F3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7E4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2024年第二季度社区运转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C89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3.65</w:t>
            </w:r>
          </w:p>
        </w:tc>
      </w:tr>
      <w:tr w14:paraId="532A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F5D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2024年居委会补助及社区惠民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04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3.65</w:t>
            </w:r>
          </w:p>
        </w:tc>
      </w:tr>
      <w:tr w14:paraId="6851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A80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退役军人服务站建设经费（西岭镇）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507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</w:tr>
      <w:tr w14:paraId="6AE4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10C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2024年各乡镇、办事处优抚对象慰问和解困(西岭）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67D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2.30</w:t>
            </w:r>
          </w:p>
        </w:tc>
      </w:tr>
      <w:tr w14:paraId="4AA2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2D5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2024年乡镇重点有福对象“八一”慰问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72F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</w:tr>
      <w:tr w14:paraId="4EC2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A97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退役军人服务站运行经费（西岭镇）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FBB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4.10</w:t>
            </w:r>
          </w:p>
        </w:tc>
      </w:tr>
      <w:tr w14:paraId="389E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83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护林员死亡补偿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BDF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66.00</w:t>
            </w:r>
          </w:p>
        </w:tc>
      </w:tr>
      <w:tr w14:paraId="4973B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7D6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退休干部待遇补贴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DD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1.92</w:t>
            </w:r>
          </w:p>
        </w:tc>
      </w:tr>
      <w:tr w14:paraId="76A7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216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从预留工资福利资金中安排原科工信局转隶人员医保财政部分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8B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6.56</w:t>
            </w:r>
          </w:p>
        </w:tc>
      </w:tr>
      <w:tr w14:paraId="04D18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6B1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2024年人居环境整治（西岭）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F7C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48.00</w:t>
            </w:r>
          </w:p>
        </w:tc>
      </w:tr>
      <w:tr w14:paraId="40A4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E01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2023年人居环境整治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F22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</w:tr>
      <w:tr w14:paraId="69D2E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E9C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城乡治理标准化示范创建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F5F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6.45</w:t>
            </w:r>
          </w:p>
        </w:tc>
      </w:tr>
      <w:tr w14:paraId="7731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BF3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2022年房屋建筑和市政设施普查经费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F30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3.94</w:t>
            </w:r>
          </w:p>
        </w:tc>
      </w:tr>
      <w:tr w14:paraId="38B9E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685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西岭镇小型基础设施建设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84A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72DC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7B8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西岭镇五冲村道路维修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B964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7.00</w:t>
            </w:r>
          </w:p>
        </w:tc>
      </w:tr>
      <w:tr w14:paraId="4A2F1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71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2024年乡镇垃圾中转站运转经费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46A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063A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C35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2023年城乡治理标准化建设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1EB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3D733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BD4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平安村基础设施建设项目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A96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24.60</w:t>
            </w:r>
          </w:p>
        </w:tc>
      </w:tr>
      <w:tr w14:paraId="7FEB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94E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人大代表引领乡村振兴奖扶（石山村）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6D5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</w:tr>
      <w:tr w14:paraId="6667D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AC9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西岭镇六图村新农村建设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8B5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</w:tr>
      <w:tr w14:paraId="57C4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3E3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2022年农村人居环境整治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5AC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25.49</w:t>
            </w:r>
          </w:p>
        </w:tc>
      </w:tr>
      <w:tr w14:paraId="72E1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0CD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从农林水利专项资金中安排农村宅基地管理与改革工作经费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61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4EBA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9E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西岭油茶小镇基础设施建设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44B8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110.00</w:t>
            </w:r>
          </w:p>
        </w:tc>
      </w:tr>
      <w:tr w14:paraId="519F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90C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西岭镇新农村建设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658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15.00</w:t>
            </w:r>
          </w:p>
        </w:tc>
      </w:tr>
      <w:tr w14:paraId="4832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559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西岭镇小微河道疏浚清淤（新坊至东风桥汇入梅埠溪）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032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6.10</w:t>
            </w:r>
          </w:p>
        </w:tc>
      </w:tr>
      <w:tr w14:paraId="4D0D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58E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西岭镇河长制专业经费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15E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</w:tr>
      <w:tr w14:paraId="26A9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246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西岭镇小微河道疏浚清淤（雷家窝圩大湖岭）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27C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8.20</w:t>
            </w:r>
          </w:p>
        </w:tc>
      </w:tr>
      <w:tr w14:paraId="692B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68F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2023年乡镇河长制经费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AD6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1.80</w:t>
            </w:r>
          </w:p>
        </w:tc>
      </w:tr>
      <w:tr w14:paraId="3206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CFE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2023年小微河流疏浚清淤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5CE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</w:tr>
      <w:tr w14:paraId="2DBF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683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2023年农业水利建设（西岭镇）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6FFF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</w:tr>
      <w:tr w14:paraId="15BEF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601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2023年防返贫监测费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71F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52E9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38E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2024年第一批和美乡村（西岭镇20万元、上安村6万元）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E14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</w:tr>
      <w:tr w14:paraId="7A83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D5C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油茶专题调研经费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07A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3.03</w:t>
            </w:r>
          </w:p>
        </w:tc>
      </w:tr>
      <w:tr w14:paraId="182B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16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防返贫监测费（西岭镇）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7D7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50B2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3AC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西岭镇2023年补齐农村基础设施建设短板资金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618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3318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0EA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水利设施建设（西岭镇）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476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</w:tr>
      <w:tr w14:paraId="002F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CEF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2023年村级补助及村级服务群众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C574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205.32</w:t>
            </w:r>
          </w:p>
        </w:tc>
      </w:tr>
      <w:tr w14:paraId="485B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9B4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2024年第二季度村级运转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92B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51.55</w:t>
            </w:r>
          </w:p>
        </w:tc>
      </w:tr>
      <w:tr w14:paraId="01F74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D58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2022年植棉积极村奖励（小松柏村）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D33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5A519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22E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2023年植棉先进乡镇（西岭）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3BC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</w:tr>
      <w:tr w14:paraId="782AE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EE3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2023年西岭镇道路维修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4E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7561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780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交通运输事业发展专项补助资金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5A2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</w:tr>
      <w:tr w14:paraId="6A63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63B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西岭镇镇区道路硬化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0E3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  <w:tr w14:paraId="65C4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8FA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车荷村2022年冬油菜生产基地建设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3B2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</w:tr>
      <w:tr w14:paraId="44A5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272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2022年中央自然灾害救灾资金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C15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</w:tr>
      <w:tr w14:paraId="7D17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5FA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2023年安全发展和综合减灾示范创建奖励资金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CBB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</w:tr>
      <w:tr w14:paraId="0638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64B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2022年安全生产和消防工作考核奖励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A54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0.50</w:t>
            </w:r>
          </w:p>
        </w:tc>
      </w:tr>
    </w:tbl>
    <w:p w14:paraId="53AAEC91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 w14:paraId="1173D242"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1A6919BA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49BE9A4F">
      <w:pPr>
        <w:spacing w:line="60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17万元，具体为：</w:t>
      </w:r>
    </w:p>
    <w:tbl>
      <w:tblPr>
        <w:tblW w:w="5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0"/>
        <w:gridCol w:w="1680"/>
      </w:tblGrid>
      <w:tr w14:paraId="0AD5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3B20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17E7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金额（万元）</w:t>
            </w:r>
          </w:p>
        </w:tc>
      </w:tr>
      <w:tr w14:paraId="41B29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7FFA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CFB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17.00</w:t>
            </w:r>
          </w:p>
        </w:tc>
      </w:tr>
      <w:tr w14:paraId="385ED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65A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西岭镇福彩公益金（省级）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8F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 w14:paraId="53AFA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62E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西岭镇公益体育设施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414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</w:tr>
      <w:tr w14:paraId="26C0D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FF8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西岭镇桐江村文化体育广场建设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713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8.00</w:t>
            </w:r>
          </w:p>
        </w:tc>
      </w:tr>
    </w:tbl>
    <w:p w14:paraId="73776D08">
      <w:pPr>
        <w:spacing w:line="60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A6E1FC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216047EE">
      <w:pPr>
        <w:pStyle w:val="9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DE7EB39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39FC9377">
      <w:pPr>
        <w:pStyle w:val="10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134B2414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7F4DC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（一）固本强基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、建强队伍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，基层党建更加坚强有力。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一是做好党员教育管理。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组织全体党员深入学习贯彻习近平新时代中国特色社会主义思想、党的二十大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和二十届三中全会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精神，落实“三会一课”、党员积分管理、村（社区）党组织书记“双述双评”等制度，不断提高基层党组织凝聚力和战斗力。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二是扎实开展党纪学习教育。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依托“一月一课一片一实践”主题党日活动，组织党员、干部深入学习《中国共产党纪律处分条例》，推动党纪学习教育走深走实。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三是推深做实“片组邻”三长制工作。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全镇现有99名片长，919名邻长，建立“片组邻”三级微信群，解决矛盾纠纷103起，提供微服务个数601件，切实打通联系服务群众“最后一步路”。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四是全面规范村级组织工作事务、机制牌子和证明事项。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对17个村（社区）办公场所挂牌情况全覆盖排查清理，严格按照“3+5+5”规范村级组织挂牌，进一步明确了村级组织承担的工作事务权责，有力提升了基层治理水平。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五是扎实做好宣传工作。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将意识形态工作列入重要议事日程，组建高标准镇村二级宣讲队，积极开展党纪学习教育、二十届三中全会精神以及时事政策宣讲。一年来，全镇通过党员大会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屋场恳谈会等形式开展各类宣讲34场。开设“大美西岭”微信公众号及视频号，积极发布镇内新闻稿件并向上级媒体推送。今年以来，在共产党员网、新湖南、衡阳智慧党建、常宁宣传等各级媒体发布稿件40余篇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做好统一战线各项工作。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始终把统战工作摆在全局工作的重要位置，全面筑牢中华民族共同体意识，进一步压实“三级网络两级责任制”的责任落实，结合西岭的工作实际，着力促进民族关系、宗教关系、海内外同胞关系和谐，有效巩固和发展了全镇团结、奋进、开拓、活跃的大好局面。</w:t>
      </w:r>
    </w:p>
    <w:p w14:paraId="069E6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（二）守住底线，护航发展，社会大局更加和谐稳定。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一是扎实开展安全生产相关工作。完善“五全一常态”机制。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结合新要求、新变化，推动安全生产“一岗双责”及“五全一常态”机制落实。开展“人人讲安全、个个会应急——畅通生命通道”主题安全生产月宣传活动，大力提升人民群众的安全防范意识。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推动安全生产治本攻坚三年行动。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制定出台《西岭镇安全生产治本攻坚三年行动（2024-2026）实施方案》，全链条排查整治重大事故隐患，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一年来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发现一般安全隐患30余个，下达《安全生产隐患问题交办函》14份，并全方位跟踪销号，确保各类隐患100%按期整改到位。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扎实开展森林防灭火暨油茶收摘秩序维护工作。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组织党员维护油茶收摘秩序突击队6支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村（社区）巡护队17支，超过1000余人次参与巡护工作。通过政府统筹调度全镇力量，在保证森林零火情和有效维护油茶收摘秩序的同时降低了工作成本，实现了多方共赢。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深入贯彻“绿水青山就是金山银山”理念。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持续保持对乱挖乱采、非法盗采行为的高压态势，深入开展环保领域打非治违行动，全镇生态环境治理成效显著。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二是稳步推进综治政法相关工作。平安建设工作持续发力。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全面推进“三联三促”工作，进一步完善“一户一档”和矛盾纠纷台账，确保底子清、情况明。加强信访维稳工作，坚持实行党委领导班子轮流接访制度，全镇共接待群众来信来访19人次，较去年下降18例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目前都已处理回复。内网系统来信来访2件（10月），目前办结率为100%。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“扫黑除恶”工作常态化推进。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处理打击各类违法犯罪问题，执法机关已形成了强大震慑威力。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反诈打跨工作精准施效。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对现存窝点人员进行重点劝返核减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截至目前，现存滞留境外涉诈重点人数已从5人核减至3人，自主摸排上报涉诈重点人员5人。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未成年人保护工作扎实有力。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开展“利剑护蕾·雷霆行动”，联合镇派出所、司法所进学校开展专题讲课，全面提升学生安全防范意识。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禁毒工作提质增效。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聚焦解决“毒品预防教育、人员管控、物品管控、麻精药品管理、行业管控、禁种铲毒”六个方面存在的突出问题，实现五个100%、三个“零发生”；摸排社戒社康人员8人，社会面吸毒人员178人，建立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“一人一档”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，实施动态管控；组织公职人员集中毛发检测1次，开展禁毒宣传活动18场次，受教育群众达500人次，提高了广大群众的禁毒意识。</w:t>
      </w:r>
    </w:p>
    <w:p w14:paraId="4CECD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产业，改善民生，加快建设富饶幸福西岭。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一是传统产业巩固发展。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全力推进粮食生产，打造西岭万亩优质高效粮食种植示范点，今年全镇粮食生产预计播种面积2.3万余亩，其中已落实早稻种植面积8200余亩。持续扩大烟叶种植规模，加强烟田管理、烤烟基础设施建设，稳定年均烤烟种植面积在5000亩左右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基础建设日趋完善。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对常白公路路段实施油化绿化亮化，投入资金20余万元安装太阳能路灯200余盏，获评湖南省“四好农村路”，桐江村、中坪村、西冲村村主干道全线硬化油化。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三是脱贫成果持续巩固。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lang w:val="en-US" w:eastAsia="zh-CN" w:bidi="ar-SA"/>
        </w:rPr>
        <w:t>坚决守住不发生规模性返贫的底线，以“清单制+责任制”方式推进问题整改，入户核实疑似风险点，实行销号管理。今年新识别纳入“三类人群”1户4人，风险消除1户4人。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是人居环境长治久美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深入开展治房、治水、治厕、治垃圾、治“五乱”五大整治行动，村（居）民文明卫生理念不断增强，村容村貌明显改善。扎实推进改厕工程，2024年新建户厕20户、公厕7座，人居环境水平不断提升。</w:t>
      </w:r>
    </w:p>
    <w:p w14:paraId="3D0D347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（四）争资跑项，狠抓项目，助推集体经济实现新突破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一是因地制宜，创新经营模式。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整合各村资源以集体经济合作社合资联建、资产入股的形式，成立湖南亿宏农业科技有限公司，实现“党建引领、跨村联营、产业联兴、共同发展”的运营模式。目前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村集体经济可支配收入达到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916.41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万元，其中平安村、桐江村、石山村突破“100万+”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二是充分调研，选定优势产业。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组织各村支部书记前往韶关、永州等地实地考察调研，通过综合考量将蛋鸡养殖作为公司前期的重点项目，项目投资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000万，建设40万羽蛋鸡养殖场及配套设施，与正大集团合作形成现代化集团公司加投资人的合作双赢模式，实现产业盈利最大化。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三是全力攻坚，推动项目见效。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公司通过选举产生了第一届董事会和监事会成员，明确了公司组织架构和利益联结模式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邀请建行现场指导，为公司项目注资提供保障。6月24日项目正式开工建设，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项目建成后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年产鲜鸡蛋约1484吨，年加工有机肥5790吨，预计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年产值可达8900万元，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每年可为村集体经济增加纯收入1500余万元。当前蛋鸡项目正在加紧建设，该项目共规划四栋蛋鸡养殖区，每栋约1700平方米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其中，一栋已经完成主体工程，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进鸡10万羽开始养殖生产。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四是创新理念，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推动文旅融合。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val="en-US"/>
        </w:rPr>
        <w:t>围绕“油茶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+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val="en-US"/>
        </w:rPr>
        <w:t>旅游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+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val="en-US"/>
        </w:rPr>
        <w:t>文化”的发展理念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拉通西岭至庙前常宁南部旅游专线，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形成集产业、休闲、生态为一体的全域旅游新业态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。目前，石山村“星空民宿”一期建设基本完成，即将投入使用。</w:t>
      </w:r>
    </w:p>
    <w:p w14:paraId="6C07AFBE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（五）心系民生，服务群众，社会事业发展再开新局。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一是落实民生保障。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全面落实城乡居民社会养老保险相关政策，发放养老保险资料28000余份，为群众查询养老数据1000余人次，办理保险卡111人次，补交105余人次，到龄人员新增领取待遇人员400人次。公益性岗位从业人员22人，每人每月600元，拨付公益性岗位资金158400元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二是推进医保征缴。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全镇97个村两委干部实行包组负责制，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奖励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村（社区）及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两委干部10万余元，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截至目前已完成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市里下达总任务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的80%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三是做好民政工作。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全镇民政方面对象各类补贴发放500余万元。农村低保486户，特困供养183人，2024年残疾人生活补贴247人，残疾护理补贴507人，发放残疾人两项补贴814320元，事实无人抚养儿童67人，孤儿9人，共发放资金1048800，90岁高龄人员67人及百岁老人2人，共发放高龄补贴100416元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四是抓实退役军人事务。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今年完成退役军人建档立卡共422人，发放优待证206张，悬挂光荣牌15块。春节及八一建军节发放慰问金6万余元，为11位困难退役军人申办了困难退役军人临时救助。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五是积极开展“最是乡音解乡愁”民情大走访活动。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对标对表上级工作要求，组织党员干部下沉访民情、聚民意、解民忧，已收集50个民众急难愁盼的诉求，已落实21个，29个正在积极对接相关职能部门加快推进，其中，集镇街道污水管网建设工程有效治疗了乡村污水“顽疾”，改善了民生，在听取百姓强烈诉求后，协调各方尽快修复受损路面，有效解决了群众出行难的问题，提升了群众的幸福感。</w:t>
      </w:r>
    </w:p>
    <w:p w14:paraId="4DA55411"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1" w:name="_GoBack"/>
      <w:bookmarkEnd w:id="1"/>
    </w:p>
    <w:p w14:paraId="23003315"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D0E3B33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7967BB80">
      <w:pPr>
        <w:pStyle w:val="10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1C3F457E">
      <w:pPr>
        <w:pStyle w:val="10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31F00888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79542FD8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6250B4A7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 w14:paraId="6158D0AB">
      <w:pPr>
        <w:pStyle w:val="10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在本单位门户网站进行公开。</w:t>
      </w:r>
    </w:p>
    <w:p w14:paraId="4CCF22CA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 w14:paraId="57728FC7">
      <w:pPr>
        <w:pStyle w:val="10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p w14:paraId="18AA7F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0"/>
    <w:rsid w:val="000B2137"/>
    <w:rsid w:val="00154CD3"/>
    <w:rsid w:val="001D34DE"/>
    <w:rsid w:val="002150F7"/>
    <w:rsid w:val="002D2F80"/>
    <w:rsid w:val="004075AA"/>
    <w:rsid w:val="00552FAE"/>
    <w:rsid w:val="006556D5"/>
    <w:rsid w:val="006A521F"/>
    <w:rsid w:val="007616CB"/>
    <w:rsid w:val="008C4FB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022E47F9"/>
    <w:rsid w:val="028F6457"/>
    <w:rsid w:val="0F7D276D"/>
    <w:rsid w:val="2BE638D4"/>
    <w:rsid w:val="30D16B4C"/>
    <w:rsid w:val="45124F88"/>
    <w:rsid w:val="47354F5E"/>
    <w:rsid w:val="4D8B58D8"/>
    <w:rsid w:val="51C27DB9"/>
    <w:rsid w:val="69C7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1923</Words>
  <Characters>2197</Characters>
  <Lines>16</Lines>
  <Paragraphs>4</Paragraphs>
  <TotalTime>0</TotalTime>
  <ScaleCrop>false</ScaleCrop>
  <LinksUpToDate>false</LinksUpToDate>
  <CharactersWithSpaces>2221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一凡®</cp:lastModifiedBy>
  <dcterms:modified xsi:type="dcterms:W3CDTF">2025-04-10T08:27:12Z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eyJoZGlkIjoiZTY1NmQxZjU5YTA1YTFhYTRmZmYwZGViZmMxNDVkMWQiLCJ1c2VySWQiOiI0NDA3ODU0MzIifQ==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27CA3304FD8542AD9B358BB38C950966_12</vt:lpwstr>
  </property>
</Properties>
</file>