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CF2C4">
      <w:pPr>
        <w:autoSpaceDE w:val="0"/>
        <w:autoSpaceDN w:val="0"/>
        <w:adjustRightInd w:val="0"/>
        <w:jc w:val="center"/>
        <w:rPr>
          <w:rFonts w:ascii="FZXBSJW--GB1-0" w:eastAsia="FZXBSJW--GB1-0" w:cs="FZXBSJW--GB1-0"/>
          <w:kern w:val="0"/>
          <w:sz w:val="44"/>
          <w:szCs w:val="44"/>
        </w:rPr>
      </w:pPr>
      <w:r>
        <w:rPr>
          <w:rFonts w:hint="eastAsia" w:ascii="TimesNewRomanPSMT" w:eastAsia="TimesNewRomanPSMT" w:cs="TimesNewRomanPSMT"/>
          <w:kern w:val="0"/>
          <w:sz w:val="44"/>
          <w:szCs w:val="44"/>
          <w:lang w:eastAsia="zh-CN"/>
        </w:rPr>
        <w:t>2024</w:t>
      </w:r>
      <w:r>
        <w:rPr>
          <w:rFonts w:hint="eastAsia" w:ascii="TimesNewRomanPSMT" w:eastAsia="TimesNewRomanPSMT" w:cs="TimesNewRomanPSMT"/>
          <w:kern w:val="0"/>
          <w:sz w:val="44"/>
          <w:szCs w:val="44"/>
        </w:rPr>
        <w:t>年度城乡义务教育补助经费</w:t>
      </w:r>
      <w:r>
        <w:rPr>
          <w:rFonts w:hint="eastAsia" w:ascii="FZXBSJW--GB1-0" w:eastAsia="FZXBSJW--GB1-0" w:cs="FZXBSJW--GB1-0"/>
          <w:kern w:val="0"/>
          <w:sz w:val="44"/>
          <w:szCs w:val="44"/>
        </w:rPr>
        <w:t>转移支付绩效自评报告（公</w:t>
      </w:r>
      <w:r>
        <w:rPr>
          <w:rFonts w:ascii="FZXBSJW--GB1-0" w:eastAsia="FZXBSJW--GB1-0" w:cs="FZXBSJW--GB1-0"/>
          <w:kern w:val="0"/>
          <w:sz w:val="44"/>
          <w:szCs w:val="44"/>
        </w:rPr>
        <w:t>用经费</w:t>
      </w:r>
      <w:r>
        <w:rPr>
          <w:rFonts w:hint="eastAsia" w:ascii="FZXBSJW--GB1-0" w:eastAsia="FZXBSJW--GB1-0" w:cs="FZXBSJW--GB1-0"/>
          <w:kern w:val="0"/>
          <w:sz w:val="44"/>
          <w:szCs w:val="44"/>
        </w:rPr>
        <w:t>）</w:t>
      </w:r>
    </w:p>
    <w:p w14:paraId="23407072">
      <w:pPr>
        <w:keepNext w:val="0"/>
        <w:keepLines w:val="0"/>
        <w:pageBreakBefore w:val="0"/>
        <w:numPr>
          <w:ilvl w:val="0"/>
          <w:numId w:val="0"/>
        </w:numPr>
        <w:kinsoku/>
        <w:wordWrap/>
        <w:overflowPunct/>
        <w:topLinePunct w:val="0"/>
        <w:autoSpaceDE w:val="0"/>
        <w:autoSpaceDN w:val="0"/>
        <w:bidi w:val="0"/>
        <w:adjustRightInd w:val="0"/>
        <w:snapToGrid/>
        <w:spacing w:line="600" w:lineRule="exact"/>
        <w:ind w:firstLine="640" w:firstLineChars="200"/>
        <w:jc w:val="left"/>
        <w:rPr>
          <w:rFonts w:hint="eastAsia" w:ascii="仿宋_GB2312" w:eastAsia="仿宋_GB2312" w:cs="仿宋_GB2312" w:hAnsiTheme="minorHAnsi"/>
          <w:kern w:val="0"/>
          <w:sz w:val="32"/>
          <w:szCs w:val="32"/>
          <w:lang w:val="en-US" w:eastAsia="zh-CN" w:bidi="ar-SA"/>
        </w:rPr>
      </w:pPr>
    </w:p>
    <w:p w14:paraId="6888C9E1">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hint="eastAsia" w:ascii="黑体" w:eastAsia="黑体" w:cs="黑体"/>
          <w:kern w:val="0"/>
          <w:sz w:val="32"/>
          <w:szCs w:val="32"/>
        </w:rPr>
      </w:pPr>
      <w:r>
        <w:rPr>
          <w:rFonts w:hint="eastAsia" w:ascii="黑体" w:eastAsia="黑体" w:cs="黑体"/>
          <w:kern w:val="0"/>
          <w:sz w:val="32"/>
          <w:szCs w:val="32"/>
          <w:lang w:val="en-US" w:eastAsia="zh-CN"/>
        </w:rPr>
        <w:t>一、</w:t>
      </w:r>
      <w:r>
        <w:rPr>
          <w:rFonts w:hint="eastAsia" w:ascii="黑体" w:eastAsia="黑体" w:cs="黑体"/>
          <w:kern w:val="0"/>
          <w:sz w:val="32"/>
          <w:szCs w:val="32"/>
        </w:rPr>
        <w:t>绩效目标分解下达情况</w:t>
      </w:r>
    </w:p>
    <w:p w14:paraId="59D94412">
      <w:pPr>
        <w:keepNext w:val="0"/>
        <w:keepLines w:val="0"/>
        <w:pageBreakBefore w:val="0"/>
        <w:numPr>
          <w:ilvl w:val="0"/>
          <w:numId w:val="0"/>
        </w:numPr>
        <w:kinsoku/>
        <w:wordWrap/>
        <w:overflowPunct/>
        <w:topLinePunct w:val="0"/>
        <w:autoSpaceDE w:val="0"/>
        <w:autoSpaceDN w:val="0"/>
        <w:bidi w:val="0"/>
        <w:adjustRightInd w:val="0"/>
        <w:snapToGrid/>
        <w:spacing w:line="60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ascii="仿宋_GB2312" w:eastAsia="仿宋_GB2312" w:cs="仿宋_GB2312"/>
          <w:kern w:val="0"/>
          <w:sz w:val="32"/>
          <w:szCs w:val="32"/>
        </w:rPr>
        <w:t>)</w:t>
      </w:r>
      <w:r>
        <w:rPr>
          <w:rFonts w:hint="eastAsia" w:ascii="仿宋_GB2312" w:eastAsia="仿宋_GB2312" w:cs="仿宋_GB2312"/>
          <w:kern w:val="0"/>
          <w:sz w:val="32"/>
          <w:szCs w:val="32"/>
        </w:rPr>
        <w:t>下达城乡义务教育补助经费转移支付预算和绩效目标情况</w:t>
      </w:r>
    </w:p>
    <w:p w14:paraId="100CC4B7">
      <w:pPr>
        <w:keepNext w:val="0"/>
        <w:keepLines w:val="0"/>
        <w:pageBreakBefore w:val="0"/>
        <w:kinsoku/>
        <w:wordWrap/>
        <w:overflowPunct/>
        <w:topLinePunct w:val="0"/>
        <w:autoSpaceDE w:val="0"/>
        <w:autoSpaceDN w:val="0"/>
        <w:bidi w:val="0"/>
        <w:adjustRightInd w:val="0"/>
        <w:snapToGrid/>
        <w:spacing w:line="600" w:lineRule="exact"/>
        <w:jc w:val="left"/>
        <w:rPr>
          <w:rFonts w:hint="eastAsia" w:ascii="仿宋_GB2312" w:eastAsia="仿宋_GB2312" w:cs="仿宋_GB2312"/>
          <w:kern w:val="0"/>
          <w:sz w:val="32"/>
          <w:szCs w:val="32"/>
        </w:rPr>
      </w:pPr>
      <w:r>
        <w:rPr>
          <w:rFonts w:ascii="仿宋_GB2312" w:eastAsia="仿宋_GB2312" w:cs="仿宋_GB2312"/>
          <w:kern w:val="0"/>
          <w:sz w:val="32"/>
          <w:szCs w:val="32"/>
        </w:rPr>
        <w:tab/>
      </w:r>
      <w:r>
        <w:rPr>
          <w:rFonts w:ascii="仿宋_GB2312" w:eastAsia="仿宋_GB2312" w:cs="仿宋_GB2312"/>
          <w:kern w:val="0"/>
          <w:sz w:val="32"/>
          <w:szCs w:val="32"/>
        </w:rPr>
        <w:tab/>
      </w:r>
      <w:r>
        <w:rPr>
          <w:rFonts w:hint="eastAsia" w:ascii="仿宋_GB2312" w:eastAsia="仿宋_GB2312" w:cs="仿宋_GB2312"/>
          <w:kern w:val="0"/>
          <w:sz w:val="32"/>
          <w:szCs w:val="32"/>
        </w:rPr>
        <w:t>湘财预〔</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3</w:t>
      </w:r>
      <w:r>
        <w:rPr>
          <w:rFonts w:ascii="仿宋_GB2312" w:eastAsia="仿宋_GB2312" w:cs="仿宋_GB2312"/>
          <w:kern w:val="0"/>
          <w:sz w:val="32"/>
          <w:szCs w:val="32"/>
        </w:rPr>
        <w:t>〕</w:t>
      </w:r>
      <w:r>
        <w:rPr>
          <w:rFonts w:hint="eastAsia" w:ascii="仿宋_GB2312" w:eastAsia="仿宋_GB2312" w:cs="仿宋_GB2312"/>
          <w:kern w:val="0"/>
          <w:sz w:val="32"/>
          <w:szCs w:val="32"/>
          <w:lang w:val="en-US" w:eastAsia="zh-CN"/>
        </w:rPr>
        <w:t>352</w:t>
      </w:r>
      <w:r>
        <w:rPr>
          <w:rFonts w:ascii="仿宋_GB2312" w:eastAsia="仿宋_GB2312" w:cs="仿宋_GB2312"/>
          <w:kern w:val="0"/>
          <w:sz w:val="32"/>
          <w:szCs w:val="32"/>
        </w:rPr>
        <w:t>号</w:t>
      </w:r>
      <w:r>
        <w:rPr>
          <w:rFonts w:hint="eastAsia" w:ascii="仿宋_GB2312" w:eastAsia="仿宋_GB2312" w:cs="仿宋_GB2312"/>
          <w:kern w:val="0"/>
          <w:sz w:val="32"/>
          <w:szCs w:val="32"/>
        </w:rPr>
        <w:t>文件下达常宁市</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年度城乡义务教育补助经费公</w:t>
      </w:r>
      <w:r>
        <w:rPr>
          <w:rFonts w:ascii="仿宋_GB2312" w:eastAsia="仿宋_GB2312" w:cs="仿宋_GB2312"/>
          <w:kern w:val="0"/>
          <w:sz w:val="32"/>
          <w:szCs w:val="32"/>
        </w:rPr>
        <w:t>用经费</w:t>
      </w:r>
      <w:r>
        <w:rPr>
          <w:rFonts w:hint="eastAsia" w:ascii="仿宋_GB2312" w:eastAsia="仿宋_GB2312" w:cs="仿宋_GB2312"/>
          <w:kern w:val="0"/>
          <w:sz w:val="32"/>
          <w:szCs w:val="32"/>
          <w:lang w:val="en-US" w:eastAsia="zh-CN"/>
        </w:rPr>
        <w:t>10206</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其</w:t>
      </w:r>
      <w:r>
        <w:rPr>
          <w:rFonts w:ascii="仿宋_GB2312" w:eastAsia="仿宋_GB2312" w:cs="仿宋_GB2312"/>
          <w:kern w:val="0"/>
          <w:sz w:val="32"/>
          <w:szCs w:val="32"/>
        </w:rPr>
        <w:t>中中央</w:t>
      </w:r>
      <w:r>
        <w:rPr>
          <w:rFonts w:hint="eastAsia" w:ascii="仿宋_GB2312" w:eastAsia="仿宋_GB2312" w:cs="仿宋_GB2312"/>
          <w:kern w:val="0"/>
          <w:sz w:val="32"/>
          <w:szCs w:val="32"/>
        </w:rPr>
        <w:t>资</w:t>
      </w:r>
      <w:r>
        <w:rPr>
          <w:rFonts w:ascii="仿宋_GB2312" w:eastAsia="仿宋_GB2312" w:cs="仿宋_GB2312"/>
          <w:kern w:val="0"/>
          <w:sz w:val="32"/>
          <w:szCs w:val="32"/>
        </w:rPr>
        <w:t>金</w:t>
      </w:r>
      <w:r>
        <w:rPr>
          <w:rFonts w:hint="eastAsia" w:ascii="仿宋_GB2312" w:eastAsia="仿宋_GB2312" w:cs="仿宋_GB2312"/>
          <w:kern w:val="0"/>
          <w:sz w:val="32"/>
          <w:szCs w:val="32"/>
        </w:rPr>
        <w:t>5995万</w:t>
      </w:r>
      <w:r>
        <w:rPr>
          <w:rFonts w:ascii="仿宋_GB2312" w:eastAsia="仿宋_GB2312" w:cs="仿宋_GB2312"/>
          <w:kern w:val="0"/>
          <w:sz w:val="32"/>
          <w:szCs w:val="32"/>
        </w:rPr>
        <w:t>元</w:t>
      </w:r>
      <w:r>
        <w:rPr>
          <w:rFonts w:hint="eastAsia" w:ascii="仿宋_GB2312" w:eastAsia="仿宋_GB2312" w:cs="仿宋_GB2312"/>
          <w:kern w:val="0"/>
          <w:sz w:val="32"/>
          <w:szCs w:val="32"/>
          <w:lang w:eastAsia="zh-CN"/>
        </w:rPr>
        <w:t>、</w:t>
      </w:r>
      <w:r>
        <w:rPr>
          <w:rFonts w:ascii="仿宋_GB2312" w:eastAsia="仿宋_GB2312" w:cs="仿宋_GB2312"/>
          <w:kern w:val="0"/>
          <w:sz w:val="32"/>
          <w:szCs w:val="32"/>
        </w:rPr>
        <w:t>省级</w:t>
      </w:r>
      <w:r>
        <w:rPr>
          <w:rFonts w:hint="eastAsia" w:ascii="仿宋_GB2312" w:eastAsia="仿宋_GB2312" w:cs="仿宋_GB2312"/>
          <w:kern w:val="0"/>
          <w:sz w:val="32"/>
          <w:szCs w:val="32"/>
        </w:rPr>
        <w:t>资</w:t>
      </w:r>
      <w:r>
        <w:rPr>
          <w:rFonts w:ascii="仿宋_GB2312" w:eastAsia="仿宋_GB2312" w:cs="仿宋_GB2312"/>
          <w:kern w:val="0"/>
          <w:sz w:val="32"/>
          <w:szCs w:val="32"/>
        </w:rPr>
        <w:t>金</w:t>
      </w:r>
      <w:r>
        <w:rPr>
          <w:rFonts w:hint="eastAsia" w:ascii="仿宋_GB2312" w:eastAsia="仿宋_GB2312" w:cs="仿宋_GB2312"/>
          <w:kern w:val="0"/>
          <w:sz w:val="32"/>
          <w:szCs w:val="32"/>
        </w:rPr>
        <w:t>2961万</w:t>
      </w:r>
      <w:r>
        <w:rPr>
          <w:rFonts w:ascii="仿宋_GB2312" w:eastAsia="仿宋_GB2312" w:cs="仿宋_GB2312"/>
          <w:kern w:val="0"/>
          <w:sz w:val="32"/>
          <w:szCs w:val="32"/>
        </w:rPr>
        <w:t>元</w:t>
      </w:r>
      <w:r>
        <w:rPr>
          <w:rFonts w:hint="eastAsia" w:ascii="仿宋_GB2312" w:eastAsia="仿宋_GB2312" w:cs="仿宋_GB2312"/>
          <w:kern w:val="0"/>
          <w:sz w:val="32"/>
          <w:szCs w:val="32"/>
          <w:lang w:eastAsia="zh-CN"/>
        </w:rPr>
        <w:t>、</w:t>
      </w:r>
      <w:r>
        <w:rPr>
          <w:rFonts w:ascii="仿宋_GB2312" w:eastAsia="仿宋_GB2312" w:cs="仿宋_GB2312"/>
          <w:kern w:val="0"/>
          <w:sz w:val="32"/>
          <w:szCs w:val="32"/>
        </w:rPr>
        <w:t>本级配套</w:t>
      </w:r>
      <w:r>
        <w:rPr>
          <w:rFonts w:hint="eastAsia" w:ascii="仿宋_GB2312" w:eastAsia="仿宋_GB2312" w:cs="仿宋_GB2312"/>
          <w:kern w:val="0"/>
          <w:sz w:val="32"/>
          <w:szCs w:val="32"/>
        </w:rPr>
        <w:t>12</w:t>
      </w:r>
      <w:r>
        <w:rPr>
          <w:rFonts w:hint="eastAsia" w:ascii="仿宋_GB2312" w:eastAsia="仿宋_GB2312" w:cs="仿宋_GB2312"/>
          <w:kern w:val="0"/>
          <w:sz w:val="32"/>
          <w:szCs w:val="32"/>
          <w:lang w:val="en-US" w:eastAsia="zh-CN"/>
        </w:rPr>
        <w:t>50</w:t>
      </w:r>
      <w:r>
        <w:rPr>
          <w:rFonts w:hint="eastAsia" w:ascii="仿宋_GB2312" w:eastAsia="仿宋_GB2312" w:cs="仿宋_GB2312"/>
          <w:kern w:val="0"/>
          <w:sz w:val="32"/>
          <w:szCs w:val="32"/>
        </w:rPr>
        <w:t>万</w:t>
      </w:r>
      <w:r>
        <w:rPr>
          <w:rFonts w:ascii="仿宋_GB2312" w:eastAsia="仿宋_GB2312" w:cs="仿宋_GB2312"/>
          <w:kern w:val="0"/>
          <w:sz w:val="32"/>
          <w:szCs w:val="32"/>
        </w:rPr>
        <w:t>元</w:t>
      </w:r>
      <w:r>
        <w:rPr>
          <w:rFonts w:hint="eastAsia" w:ascii="仿宋_GB2312" w:eastAsia="仿宋_GB2312" w:cs="仿宋_GB2312"/>
          <w:kern w:val="0"/>
          <w:sz w:val="32"/>
          <w:szCs w:val="32"/>
        </w:rPr>
        <w:t>。</w:t>
      </w:r>
    </w:p>
    <w:p w14:paraId="00C37326">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rPr>
        <w:t>分解下达预算和绩效目标情况</w:t>
      </w:r>
    </w:p>
    <w:p w14:paraId="246B9FBB">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落实并进一步完善义务教育经费保障机制，按标准足额落实城乡义务教育学校公用经费</w:t>
      </w:r>
      <w:r>
        <w:rPr>
          <w:rFonts w:ascii="仿宋_GB2312" w:eastAsia="仿宋_GB2312" w:cs="仿宋_GB2312"/>
          <w:kern w:val="0"/>
          <w:sz w:val="32"/>
          <w:szCs w:val="32"/>
        </w:rPr>
        <w:t>。</w:t>
      </w:r>
      <w:r>
        <w:rPr>
          <w:rFonts w:hint="eastAsia" w:ascii="仿宋_GB2312" w:eastAsia="仿宋_GB2312" w:cs="仿宋_GB2312"/>
          <w:kern w:val="0"/>
          <w:sz w:val="32"/>
          <w:szCs w:val="32"/>
        </w:rPr>
        <w:t>为全市</w:t>
      </w:r>
      <w:r>
        <w:rPr>
          <w:rFonts w:ascii="仿宋_GB2312" w:eastAsia="仿宋_GB2312" w:cs="仿宋_GB2312"/>
          <w:kern w:val="0"/>
          <w:sz w:val="32"/>
          <w:szCs w:val="32"/>
        </w:rPr>
        <w:t>1</w:t>
      </w:r>
      <w:r>
        <w:rPr>
          <w:rFonts w:hint="eastAsia" w:ascii="仿宋_GB2312" w:eastAsia="仿宋_GB2312" w:cs="仿宋_GB2312"/>
          <w:kern w:val="0"/>
          <w:sz w:val="32"/>
          <w:szCs w:val="32"/>
          <w:lang w:val="en-US" w:eastAsia="zh-CN"/>
        </w:rPr>
        <w:t>61</w:t>
      </w:r>
      <w:r>
        <w:rPr>
          <w:rFonts w:ascii="仿宋_GB2312" w:eastAsia="仿宋_GB2312" w:cs="仿宋_GB2312"/>
          <w:kern w:val="0"/>
          <w:sz w:val="32"/>
          <w:szCs w:val="32"/>
        </w:rPr>
        <w:t>所义务教育学校按照小学720、初中</w:t>
      </w:r>
      <w:r>
        <w:rPr>
          <w:rFonts w:hint="eastAsia" w:ascii="仿宋_GB2312" w:eastAsia="仿宋_GB2312" w:cs="仿宋_GB2312"/>
          <w:kern w:val="0"/>
          <w:sz w:val="32"/>
          <w:szCs w:val="32"/>
        </w:rPr>
        <w:t>940</w:t>
      </w:r>
      <w:r>
        <w:rPr>
          <w:rFonts w:ascii="仿宋_GB2312" w:eastAsia="仿宋_GB2312" w:cs="仿宋_GB2312"/>
          <w:kern w:val="0"/>
          <w:sz w:val="32"/>
          <w:szCs w:val="32"/>
        </w:rPr>
        <w:t>元</w:t>
      </w:r>
      <w:r>
        <w:rPr>
          <w:rFonts w:hint="eastAsia" w:ascii="仿宋_GB2312" w:eastAsia="仿宋_GB2312" w:cs="仿宋_GB2312"/>
          <w:kern w:val="0"/>
          <w:sz w:val="32"/>
          <w:szCs w:val="32"/>
        </w:rPr>
        <w:t>、</w:t>
      </w:r>
      <w:r>
        <w:rPr>
          <w:rFonts w:ascii="仿宋_GB2312" w:eastAsia="仿宋_GB2312" w:cs="仿宋_GB2312"/>
          <w:kern w:val="0"/>
          <w:sz w:val="32"/>
          <w:szCs w:val="32"/>
        </w:rPr>
        <w:t>特教学生6000元的生均标准落实公用经费；不足100人的学校按100人拨付公用经费，对于寄宿制学校按寄宿生人数</w:t>
      </w:r>
      <w:r>
        <w:rPr>
          <w:rFonts w:hint="eastAsia" w:ascii="仿宋_GB2312" w:eastAsia="仿宋_GB2312" w:cs="仿宋_GB2312"/>
          <w:kern w:val="0"/>
          <w:sz w:val="32"/>
          <w:szCs w:val="32"/>
        </w:rPr>
        <w:t>4</w:t>
      </w:r>
      <w:r>
        <w:rPr>
          <w:rFonts w:ascii="仿宋_GB2312" w:eastAsia="仿宋_GB2312" w:cs="仿宋_GB2312"/>
          <w:kern w:val="0"/>
          <w:sz w:val="32"/>
          <w:szCs w:val="32"/>
        </w:rPr>
        <w:t>00元的生均公用经费。</w:t>
      </w:r>
    </w:p>
    <w:p w14:paraId="4636FE75">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黑体" w:eastAsia="黑体" w:cs="黑体"/>
          <w:kern w:val="0"/>
          <w:sz w:val="32"/>
          <w:szCs w:val="32"/>
        </w:rPr>
      </w:pPr>
      <w:r>
        <w:rPr>
          <w:rFonts w:hint="eastAsia" w:ascii="黑体" w:eastAsia="黑体" w:cs="黑体"/>
          <w:kern w:val="0"/>
          <w:sz w:val="32"/>
          <w:szCs w:val="32"/>
        </w:rPr>
        <w:t>二、绩效目标完成情况分析</w:t>
      </w:r>
    </w:p>
    <w:p w14:paraId="28FE2358">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（一）资金投入情况分析</w:t>
      </w:r>
    </w:p>
    <w:p w14:paraId="2CD2CB14">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项目资金到位情况分析</w:t>
      </w:r>
    </w:p>
    <w:p w14:paraId="43225287">
      <w:pPr>
        <w:keepNext w:val="0"/>
        <w:keepLines w:val="0"/>
        <w:pageBreakBefore w:val="0"/>
        <w:kinsoku/>
        <w:wordWrap/>
        <w:overflowPunct/>
        <w:topLinePunct w:val="0"/>
        <w:autoSpaceDE w:val="0"/>
        <w:autoSpaceDN w:val="0"/>
        <w:bidi w:val="0"/>
        <w:adjustRightInd w:val="0"/>
        <w:snapToGrid/>
        <w:spacing w:line="60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年度城乡义务教育补助经费公</w:t>
      </w:r>
      <w:r>
        <w:rPr>
          <w:rFonts w:ascii="仿宋_GB2312" w:eastAsia="仿宋_GB2312" w:cs="仿宋_GB2312"/>
          <w:kern w:val="0"/>
          <w:sz w:val="32"/>
          <w:szCs w:val="32"/>
        </w:rPr>
        <w:t>用经费补助资金102</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6</w:t>
      </w:r>
      <w:r>
        <w:rPr>
          <w:rFonts w:hint="eastAsia" w:ascii="仿宋_GB2312" w:eastAsia="仿宋_GB2312" w:cs="仿宋_GB2312"/>
          <w:kern w:val="0"/>
          <w:sz w:val="32"/>
          <w:szCs w:val="32"/>
        </w:rPr>
        <w:t>万元，在</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基本</w:t>
      </w:r>
      <w:r>
        <w:rPr>
          <w:rFonts w:hint="eastAsia" w:ascii="仿宋_GB2312" w:eastAsia="仿宋_GB2312" w:cs="仿宋_GB2312"/>
          <w:kern w:val="0"/>
          <w:sz w:val="32"/>
          <w:szCs w:val="32"/>
        </w:rPr>
        <w:t>拨付到位。</w:t>
      </w:r>
    </w:p>
    <w:p w14:paraId="4C8F6EF2">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项目资金执行情况分析</w:t>
      </w:r>
    </w:p>
    <w:p w14:paraId="125F4509">
      <w:pPr>
        <w:keepNext w:val="0"/>
        <w:keepLines w:val="0"/>
        <w:pageBreakBefore w:val="0"/>
        <w:kinsoku/>
        <w:wordWrap/>
        <w:overflowPunct/>
        <w:topLinePunct w:val="0"/>
        <w:autoSpaceDE w:val="0"/>
        <w:autoSpaceDN w:val="0"/>
        <w:bidi w:val="0"/>
        <w:adjustRightInd w:val="0"/>
        <w:snapToGrid/>
        <w:spacing w:line="60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年度城乡义务教育补助经费严格依据</w:t>
      </w:r>
      <w:r>
        <w:rPr>
          <w:rFonts w:ascii="仿宋_GB2312" w:eastAsia="仿宋_GB2312" w:cs="仿宋_GB2312"/>
          <w:kern w:val="0"/>
          <w:sz w:val="32"/>
          <w:szCs w:val="32"/>
        </w:rPr>
        <w:t>按照《城乡义务教育补助经费管理办法》（财教</w:t>
      </w:r>
      <w:r>
        <w:rPr>
          <w:rFonts w:eastAsia="仿宋_GB2312"/>
          <w:sz w:val="32"/>
          <w:szCs w:val="32"/>
        </w:rPr>
        <w:t>〔2019〕121号）、《湖南省人民政府办公厅关于印发&lt;湖南省进一步完善城乡义务教育经费保障机制实施方案&gt;的通知》（湘政办发〔2016〕39号）精神</w:t>
      </w:r>
      <w:r>
        <w:rPr>
          <w:rFonts w:hint="eastAsia" w:eastAsia="仿宋_GB2312"/>
          <w:sz w:val="32"/>
          <w:szCs w:val="32"/>
        </w:rPr>
        <w:t>执行到位</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年度城乡义务教育补助经费公</w:t>
      </w:r>
      <w:r>
        <w:rPr>
          <w:rFonts w:ascii="仿宋_GB2312" w:eastAsia="仿宋_GB2312" w:cs="仿宋_GB2312"/>
          <w:kern w:val="0"/>
          <w:sz w:val="32"/>
          <w:szCs w:val="32"/>
        </w:rPr>
        <w:t>用经费补助资金102</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6</w:t>
      </w:r>
      <w:r>
        <w:rPr>
          <w:rFonts w:hint="eastAsia" w:ascii="仿宋_GB2312" w:eastAsia="仿宋_GB2312" w:cs="仿宋_GB2312"/>
          <w:kern w:val="0"/>
          <w:sz w:val="32"/>
          <w:szCs w:val="32"/>
        </w:rPr>
        <w:t>万元，在</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基本</w:t>
      </w:r>
      <w:r>
        <w:rPr>
          <w:rFonts w:hint="eastAsia" w:ascii="仿宋_GB2312" w:eastAsia="仿宋_GB2312" w:cs="仿宋_GB2312"/>
          <w:kern w:val="0"/>
          <w:sz w:val="32"/>
          <w:szCs w:val="32"/>
        </w:rPr>
        <w:t>拨付到位,执</w:t>
      </w:r>
      <w:r>
        <w:rPr>
          <w:rFonts w:ascii="仿宋_GB2312" w:eastAsia="仿宋_GB2312" w:cs="仿宋_GB2312"/>
          <w:kern w:val="0"/>
          <w:sz w:val="32"/>
          <w:szCs w:val="32"/>
        </w:rPr>
        <w:t>行率</w:t>
      </w:r>
      <w:r>
        <w:rPr>
          <w:rFonts w:hint="eastAsia" w:ascii="仿宋_GB2312" w:eastAsia="仿宋_GB2312" w:cs="仿宋_GB2312"/>
          <w:kern w:val="0"/>
          <w:sz w:val="32"/>
          <w:szCs w:val="32"/>
          <w:lang w:val="en-US" w:eastAsia="zh-CN"/>
        </w:rPr>
        <w:t>96</w:t>
      </w:r>
      <w:r>
        <w:rPr>
          <w:rFonts w:hint="eastAsia" w:ascii="仿宋_GB2312" w:eastAsia="仿宋_GB2312" w:cs="仿宋_GB2312"/>
          <w:kern w:val="0"/>
          <w:sz w:val="32"/>
          <w:szCs w:val="32"/>
        </w:rPr>
        <w:t>%。</w:t>
      </w:r>
    </w:p>
    <w:p w14:paraId="7312B97E">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eastAsia="仿宋_GB2312"/>
          <w:sz w:val="32"/>
          <w:szCs w:val="32"/>
        </w:rPr>
      </w:pPr>
      <w:r>
        <w:rPr>
          <w:rFonts w:hint="eastAsia" w:ascii="仿宋_GB2312" w:eastAsia="仿宋_GB2312" w:cs="仿宋_GB2312"/>
          <w:kern w:val="0"/>
          <w:sz w:val="32"/>
          <w:szCs w:val="32"/>
          <w:lang w:val="en-US" w:eastAsia="zh-CN"/>
        </w:rPr>
        <w:t>3</w:t>
      </w:r>
      <w:r>
        <w:rPr>
          <w:rFonts w:ascii="仿宋_GB2312" w:eastAsia="仿宋_GB2312" w:cs="仿宋_GB2312"/>
          <w:kern w:val="0"/>
          <w:sz w:val="32"/>
          <w:szCs w:val="32"/>
        </w:rPr>
        <w:t>.</w:t>
      </w:r>
      <w:r>
        <w:rPr>
          <w:rFonts w:hint="eastAsia" w:eastAsia="仿宋_GB2312"/>
          <w:sz w:val="32"/>
          <w:szCs w:val="32"/>
        </w:rPr>
        <w:t>项目资金管理情况分析</w:t>
      </w:r>
    </w:p>
    <w:p w14:paraId="273B69F7">
      <w:pPr>
        <w:keepNext w:val="0"/>
        <w:keepLines w:val="0"/>
        <w:pageBreakBefore w:val="0"/>
        <w:kinsoku/>
        <w:wordWrap/>
        <w:overflowPunct/>
        <w:topLinePunct w:val="0"/>
        <w:bidi w:val="0"/>
        <w:snapToGrid/>
        <w:spacing w:line="600" w:lineRule="exact"/>
        <w:ind w:firstLine="640"/>
        <w:rPr>
          <w:rFonts w:ascii="仿宋_GB2312" w:eastAsia="仿宋_GB2312"/>
          <w:sz w:val="32"/>
          <w:szCs w:val="32"/>
        </w:rPr>
      </w:pPr>
      <w:r>
        <w:rPr>
          <w:rFonts w:hint="eastAsia" w:eastAsia="仿宋_GB2312"/>
          <w:sz w:val="32"/>
          <w:szCs w:val="32"/>
        </w:rPr>
        <w:t>根据《常</w:t>
      </w:r>
      <w:r>
        <w:rPr>
          <w:rFonts w:eastAsia="仿宋_GB2312"/>
          <w:sz w:val="32"/>
          <w:szCs w:val="32"/>
        </w:rPr>
        <w:t>宁市</w:t>
      </w:r>
      <w:r>
        <w:rPr>
          <w:rFonts w:hint="eastAsia" w:eastAsia="仿宋_GB2312"/>
          <w:sz w:val="32"/>
          <w:szCs w:val="32"/>
        </w:rPr>
        <w:t>教育</w:t>
      </w:r>
      <w:r>
        <w:rPr>
          <w:rFonts w:eastAsia="仿宋_GB2312"/>
          <w:sz w:val="32"/>
          <w:szCs w:val="32"/>
        </w:rPr>
        <w:t>系统财务管理制度</w:t>
      </w:r>
      <w:r>
        <w:rPr>
          <w:rFonts w:hint="eastAsia" w:eastAsia="仿宋_GB2312"/>
          <w:sz w:val="32"/>
          <w:szCs w:val="32"/>
        </w:rPr>
        <w:t>》第</w:t>
      </w:r>
      <w:r>
        <w:rPr>
          <w:rFonts w:eastAsia="仿宋_GB2312"/>
          <w:sz w:val="32"/>
          <w:szCs w:val="32"/>
        </w:rPr>
        <w:t>四章</w:t>
      </w:r>
      <w:r>
        <w:rPr>
          <w:rFonts w:hint="eastAsia" w:eastAsia="仿宋_GB2312"/>
          <w:sz w:val="32"/>
          <w:szCs w:val="32"/>
        </w:rPr>
        <w:t>支</w:t>
      </w:r>
      <w:r>
        <w:rPr>
          <w:rFonts w:eastAsia="仿宋_GB2312"/>
          <w:sz w:val="32"/>
          <w:szCs w:val="32"/>
        </w:rPr>
        <w:t>出管理</w:t>
      </w:r>
      <w:r>
        <w:rPr>
          <w:rFonts w:hint="eastAsia" w:eastAsia="仿宋_GB2312"/>
          <w:sz w:val="32"/>
          <w:szCs w:val="32"/>
        </w:rPr>
        <w:t>严格</w:t>
      </w:r>
      <w:r>
        <w:rPr>
          <w:rFonts w:eastAsia="仿宋_GB2312"/>
          <w:sz w:val="32"/>
          <w:szCs w:val="32"/>
        </w:rPr>
        <w:t>管理</w:t>
      </w:r>
      <w:r>
        <w:rPr>
          <w:rFonts w:hint="eastAsia" w:eastAsia="仿宋_GB2312"/>
          <w:sz w:val="32"/>
          <w:szCs w:val="32"/>
        </w:rPr>
        <w:t>各</w:t>
      </w:r>
      <w:r>
        <w:rPr>
          <w:rFonts w:eastAsia="仿宋_GB2312"/>
          <w:sz w:val="32"/>
          <w:szCs w:val="32"/>
        </w:rPr>
        <w:t>类支出项目，</w:t>
      </w:r>
      <w:r>
        <w:rPr>
          <w:rFonts w:hint="eastAsia" w:ascii="仿宋_GB2312" w:eastAsia="仿宋_GB2312"/>
          <w:sz w:val="32"/>
          <w:szCs w:val="32"/>
        </w:rPr>
        <w:t>坚持“先收后支，量入为出”的原则，做到厉行节约，杜绝浪费，提高资金使用效益。学校要严格区分人员经费、公用经费、项目经费，保证专款专用。用于农村义务教育的经费不得挪作它用，不得用于人员工资或津补贴、基本建设项目。所有下拨的教育经费，须经教育局计财统一编制计划，实施预算管理，凭</w:t>
      </w:r>
      <w:r>
        <w:rPr>
          <w:rFonts w:hint="eastAsia" w:ascii="仿宋_GB2312" w:hAnsi="宋体" w:eastAsia="仿宋_GB2312" w:cs="宋体"/>
          <w:sz w:val="32"/>
          <w:szCs w:val="32"/>
        </w:rPr>
        <w:t>计财股的《用款计划书》到计财股或教育经费集中核算管理中心拨款</w:t>
      </w:r>
      <w:r>
        <w:rPr>
          <w:rFonts w:hint="eastAsia" w:ascii="仿宋_GB2312" w:eastAsia="仿宋_GB2312"/>
          <w:sz w:val="32"/>
          <w:szCs w:val="32"/>
        </w:rPr>
        <w:t>。</w:t>
      </w:r>
    </w:p>
    <w:p w14:paraId="22AD14A7">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（二）总体绩效目标完成情况分析</w:t>
      </w:r>
    </w:p>
    <w:p w14:paraId="23209E09">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hint="eastAsia" w:eastAsia="仿宋_GB2312"/>
          <w:sz w:val="32"/>
          <w:szCs w:val="32"/>
          <w:lang w:eastAsia="zh-CN"/>
        </w:rPr>
      </w:pPr>
      <w:r>
        <w:rPr>
          <w:rFonts w:hint="eastAsia" w:ascii="仿宋" w:hAnsi="仿宋" w:eastAsia="仿宋" w:cs="仿宋"/>
          <w:sz w:val="32"/>
          <w:szCs w:val="32"/>
          <w:lang w:val="en-US" w:eastAsia="zh-CN"/>
        </w:rPr>
        <w:t>2024</w:t>
      </w:r>
      <w:r>
        <w:rPr>
          <w:rFonts w:hint="eastAsia" w:eastAsia="仿宋_GB2312"/>
          <w:sz w:val="32"/>
          <w:szCs w:val="32"/>
        </w:rPr>
        <w:t>年度城乡义务教育补助经费的落实进一步完善义务教育经费保障机制，按标准足额落实城乡义务教育</w:t>
      </w:r>
      <w:r>
        <w:rPr>
          <w:rFonts w:eastAsia="仿宋_GB2312"/>
          <w:sz w:val="32"/>
          <w:szCs w:val="32"/>
        </w:rPr>
        <w:t>1</w:t>
      </w:r>
      <w:r>
        <w:rPr>
          <w:rFonts w:hint="eastAsia" w:eastAsia="仿宋_GB2312"/>
          <w:sz w:val="32"/>
          <w:szCs w:val="32"/>
          <w:lang w:val="en-US" w:eastAsia="zh-CN"/>
        </w:rPr>
        <w:t>61</w:t>
      </w:r>
      <w:r>
        <w:rPr>
          <w:rFonts w:eastAsia="仿宋_GB2312"/>
          <w:sz w:val="32"/>
          <w:szCs w:val="32"/>
        </w:rPr>
        <w:t>所学校按照小学720</w:t>
      </w:r>
      <w:r>
        <w:rPr>
          <w:rFonts w:hint="eastAsia" w:eastAsia="仿宋_GB2312"/>
          <w:sz w:val="32"/>
          <w:szCs w:val="32"/>
          <w:lang w:val="en-US" w:eastAsia="zh-CN"/>
        </w:rPr>
        <w:t>元</w:t>
      </w:r>
      <w:r>
        <w:rPr>
          <w:rFonts w:eastAsia="仿宋_GB2312"/>
          <w:sz w:val="32"/>
          <w:szCs w:val="32"/>
        </w:rPr>
        <w:t>、初中</w:t>
      </w:r>
      <w:r>
        <w:rPr>
          <w:rFonts w:hint="eastAsia" w:eastAsia="仿宋_GB2312"/>
          <w:sz w:val="32"/>
          <w:szCs w:val="32"/>
        </w:rPr>
        <w:t>94</w:t>
      </w:r>
      <w:r>
        <w:rPr>
          <w:rFonts w:eastAsia="仿宋_GB2312"/>
          <w:sz w:val="32"/>
          <w:szCs w:val="32"/>
        </w:rPr>
        <w:t>0元、特教学生6000元落实公用经费，不足100人的学校按100人拨付公用经费，对于寄宿制学校按寄宿生人数增加</w:t>
      </w:r>
      <w:r>
        <w:rPr>
          <w:rFonts w:hint="eastAsia" w:eastAsia="仿宋_GB2312"/>
          <w:sz w:val="32"/>
          <w:szCs w:val="32"/>
        </w:rPr>
        <w:t>4</w:t>
      </w:r>
      <w:r>
        <w:rPr>
          <w:rFonts w:eastAsia="仿宋_GB2312"/>
          <w:sz w:val="32"/>
          <w:szCs w:val="32"/>
        </w:rPr>
        <w:t>00元生均公用经费</w:t>
      </w:r>
      <w:r>
        <w:rPr>
          <w:rFonts w:hint="eastAsia" w:eastAsia="仿宋_GB2312"/>
          <w:sz w:val="32"/>
          <w:szCs w:val="32"/>
          <w:lang w:eastAsia="zh-CN"/>
        </w:rPr>
        <w:t>，补助义务教育小学生人数6</w:t>
      </w:r>
      <w:r>
        <w:rPr>
          <w:rFonts w:hint="eastAsia" w:eastAsia="仿宋_GB2312"/>
          <w:sz w:val="32"/>
          <w:szCs w:val="32"/>
          <w:lang w:val="en-US" w:eastAsia="zh-CN"/>
        </w:rPr>
        <w:t>3818</w:t>
      </w:r>
      <w:r>
        <w:rPr>
          <w:rFonts w:hint="eastAsia" w:eastAsia="仿宋_GB2312"/>
          <w:sz w:val="32"/>
          <w:szCs w:val="32"/>
          <w:lang w:eastAsia="zh-CN"/>
        </w:rPr>
        <w:t>人、中学生人数3</w:t>
      </w:r>
      <w:r>
        <w:rPr>
          <w:rFonts w:hint="eastAsia" w:eastAsia="仿宋_GB2312"/>
          <w:sz w:val="32"/>
          <w:szCs w:val="32"/>
          <w:lang w:val="en-US" w:eastAsia="zh-CN"/>
        </w:rPr>
        <w:t>4231</w:t>
      </w:r>
      <w:r>
        <w:rPr>
          <w:rFonts w:hint="eastAsia" w:eastAsia="仿宋_GB2312"/>
          <w:sz w:val="32"/>
          <w:szCs w:val="32"/>
          <w:lang w:eastAsia="zh-CN"/>
        </w:rPr>
        <w:t>人、寄宿生4</w:t>
      </w:r>
      <w:r>
        <w:rPr>
          <w:rFonts w:hint="eastAsia" w:eastAsia="仿宋_GB2312"/>
          <w:sz w:val="32"/>
          <w:szCs w:val="32"/>
          <w:lang w:val="en-US" w:eastAsia="zh-CN"/>
        </w:rPr>
        <w:t>8530</w:t>
      </w:r>
      <w:r>
        <w:rPr>
          <w:rFonts w:hint="eastAsia" w:eastAsia="仿宋_GB2312"/>
          <w:sz w:val="32"/>
          <w:szCs w:val="32"/>
          <w:lang w:eastAsia="zh-CN"/>
        </w:rPr>
        <w:t>人、特殊教育生2</w:t>
      </w:r>
      <w:r>
        <w:rPr>
          <w:rFonts w:hint="eastAsia" w:eastAsia="仿宋_GB2312"/>
          <w:sz w:val="32"/>
          <w:szCs w:val="32"/>
          <w:lang w:val="en-US" w:eastAsia="zh-CN"/>
        </w:rPr>
        <w:t>76</w:t>
      </w:r>
      <w:r>
        <w:rPr>
          <w:rFonts w:hint="eastAsia" w:eastAsia="仿宋_GB2312"/>
          <w:sz w:val="32"/>
          <w:szCs w:val="32"/>
          <w:lang w:eastAsia="zh-CN"/>
        </w:rPr>
        <w:t>人。</w:t>
      </w:r>
    </w:p>
    <w:p w14:paraId="6E0193E3">
      <w:pPr>
        <w:keepNext w:val="0"/>
        <w:keepLines w:val="0"/>
        <w:pageBreakBefore w:val="0"/>
        <w:numPr>
          <w:ilvl w:val="0"/>
          <w:numId w:val="0"/>
        </w:numPr>
        <w:kinsoku/>
        <w:wordWrap/>
        <w:overflowPunct/>
        <w:topLinePunct w:val="0"/>
        <w:autoSpaceDE w:val="0"/>
        <w:autoSpaceDN w:val="0"/>
        <w:bidi w:val="0"/>
        <w:adjustRightInd w:val="0"/>
        <w:snapToGrid/>
        <w:spacing w:line="600" w:lineRule="exact"/>
        <w:ind w:firstLine="640" w:firstLineChars="200"/>
        <w:jc w:val="left"/>
        <w:rPr>
          <w:rFonts w:eastAsia="仿宋_GB2312"/>
          <w:sz w:val="32"/>
          <w:szCs w:val="32"/>
        </w:rPr>
      </w:pPr>
      <w:r>
        <w:rPr>
          <w:rFonts w:hint="eastAsia" w:eastAsia="仿宋_GB2312" w:asciiTheme="minorHAnsi" w:hAnsiTheme="minorHAnsi" w:cstheme="minorBidi"/>
          <w:kern w:val="2"/>
          <w:sz w:val="32"/>
          <w:szCs w:val="32"/>
          <w:lang w:val="en-US" w:eastAsia="zh-CN" w:bidi="ar-SA"/>
        </w:rPr>
        <w:t>（三）</w:t>
      </w:r>
      <w:r>
        <w:rPr>
          <w:rFonts w:hint="eastAsia" w:eastAsia="仿宋_GB2312"/>
          <w:sz w:val="32"/>
          <w:szCs w:val="32"/>
        </w:rPr>
        <w:t>绩效目标完成情况分析</w:t>
      </w:r>
    </w:p>
    <w:tbl>
      <w:tblPr>
        <w:tblStyle w:val="5"/>
        <w:tblW w:w="834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506"/>
        <w:gridCol w:w="2550"/>
        <w:gridCol w:w="1575"/>
        <w:gridCol w:w="1635"/>
      </w:tblGrid>
      <w:tr w14:paraId="231C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nil"/>
              <w:bottom w:val="single" w:color="000000" w:sz="4" w:space="0"/>
              <w:right w:val="single" w:color="000000" w:sz="4" w:space="0"/>
            </w:tcBorders>
            <w:shd w:val="clear" w:color="auto" w:fill="auto"/>
            <w:vAlign w:val="center"/>
          </w:tcPr>
          <w:p w14:paraId="0BDCDAFC">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8FA3">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942E">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0F48">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635" w:type="dxa"/>
            <w:tcBorders>
              <w:top w:val="single" w:color="000000" w:sz="4" w:space="0"/>
              <w:left w:val="single" w:color="000000" w:sz="4" w:space="0"/>
              <w:bottom w:val="single" w:color="000000" w:sz="4" w:space="0"/>
              <w:right w:val="nil"/>
            </w:tcBorders>
            <w:shd w:val="clear" w:color="auto" w:fill="auto"/>
            <w:vAlign w:val="center"/>
          </w:tcPr>
          <w:p w14:paraId="66D3B6AD">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实际完成值</w:t>
            </w:r>
          </w:p>
        </w:tc>
      </w:tr>
      <w:tr w14:paraId="6225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14:paraId="456E5BF3">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3A63D">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D1BB">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义务教育小学生人数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7043">
            <w:pPr>
              <w:keepNext w:val="0"/>
              <w:keepLines w:val="0"/>
              <w:pageBreakBefore w:val="0"/>
              <w:widowControl/>
              <w:suppressLineNumbers w:val="0"/>
              <w:kinsoku/>
              <w:wordWrap/>
              <w:overflowPunct/>
              <w:topLinePunct w:val="0"/>
              <w:bidi w:val="0"/>
              <w:snapToGrid/>
              <w:spacing w:line="6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63818</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517DB837">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63818</w:t>
            </w:r>
          </w:p>
        </w:tc>
      </w:tr>
      <w:tr w14:paraId="47BC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39944C4B">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4CD14">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F429">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义务教育中学生人数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FF01">
            <w:pPr>
              <w:keepNext w:val="0"/>
              <w:keepLines w:val="0"/>
              <w:pageBreakBefore w:val="0"/>
              <w:widowControl/>
              <w:suppressLineNumbers w:val="0"/>
              <w:kinsoku/>
              <w:wordWrap/>
              <w:overflowPunct/>
              <w:topLinePunct w:val="0"/>
              <w:bidi w:val="0"/>
              <w:snapToGrid/>
              <w:spacing w:line="6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34231</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6AD8834E">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34231</w:t>
            </w:r>
          </w:p>
        </w:tc>
      </w:tr>
      <w:tr w14:paraId="062A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7BA2C240">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E435">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4168">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寄宿生人数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543A">
            <w:pPr>
              <w:keepNext w:val="0"/>
              <w:keepLines w:val="0"/>
              <w:pageBreakBefore w:val="0"/>
              <w:widowControl/>
              <w:suppressLineNumbers w:val="0"/>
              <w:kinsoku/>
              <w:wordWrap/>
              <w:overflowPunct/>
              <w:topLinePunct w:val="0"/>
              <w:bidi w:val="0"/>
              <w:snapToGrid/>
              <w:spacing w:line="6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48530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6F1D67AD">
            <w:pPr>
              <w:keepNext w:val="0"/>
              <w:keepLines w:val="0"/>
              <w:pageBreakBefore w:val="0"/>
              <w:widowControl/>
              <w:suppressLineNumbers w:val="0"/>
              <w:kinsoku/>
              <w:wordWrap/>
              <w:overflowPunct/>
              <w:topLinePunct w:val="0"/>
              <w:bidi w:val="0"/>
              <w:snapToGrid/>
              <w:spacing w:line="6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48530</w:t>
            </w:r>
          </w:p>
        </w:tc>
      </w:tr>
      <w:tr w14:paraId="260D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35B74C74">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0ED0">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BDC8">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特殊教育生人数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0BAA">
            <w:pPr>
              <w:keepNext w:val="0"/>
              <w:keepLines w:val="0"/>
              <w:pageBreakBefore w:val="0"/>
              <w:widowControl/>
              <w:suppressLineNumbers w:val="0"/>
              <w:kinsoku/>
              <w:wordWrap/>
              <w:overflowPunct/>
              <w:topLinePunct w:val="0"/>
              <w:bidi w:val="0"/>
              <w:snapToGrid/>
              <w:spacing w:line="6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276</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49933C83">
            <w:pPr>
              <w:keepNext w:val="0"/>
              <w:keepLines w:val="0"/>
              <w:pageBreakBefore w:val="0"/>
              <w:widowControl/>
              <w:suppressLineNumbers w:val="0"/>
              <w:kinsoku/>
              <w:wordWrap/>
              <w:overflowPunct/>
              <w:topLinePunct w:val="0"/>
              <w:bidi w:val="0"/>
              <w:snapToGrid/>
              <w:spacing w:line="6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276</w:t>
            </w:r>
          </w:p>
        </w:tc>
      </w:tr>
      <w:tr w14:paraId="364A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5AECDCA1">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67130">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1A20">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拨付率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0C48">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3061CC8C">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r>
      <w:tr w14:paraId="3835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4850B35B">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6849F">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5F46">
            <w:pPr>
              <w:keepNext w:val="0"/>
              <w:keepLines w:val="0"/>
              <w:pageBreakBefore w:val="0"/>
              <w:widowControl/>
              <w:suppressLineNumbers w:val="0"/>
              <w:kinsoku/>
              <w:wordWrap/>
              <w:overflowPunct/>
              <w:topLinePunct w:val="0"/>
              <w:bidi w:val="0"/>
              <w:snapToGrid/>
              <w:spacing w:line="6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使用合规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6C70">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使用合规</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2574AF4B">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使用合规</w:t>
            </w:r>
          </w:p>
        </w:tc>
      </w:tr>
      <w:tr w14:paraId="685B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5720E793">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95C4">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1446">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准确率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42B1">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7F14BA3E">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4FB3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44B1186A">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8C33">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3EBF">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年度内完成拨付进度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0B0D">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68335F69">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06F0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210BEBDA">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08D11">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BBD0">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义务教育小学生补助标准</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CEB3">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720/人/年</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055CB123">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720/人/年</w:t>
            </w:r>
          </w:p>
        </w:tc>
      </w:tr>
      <w:tr w14:paraId="4781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735963E0">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2136B">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7974">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义务教育中学生补助标准</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DDE5">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940/人/年</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0A521D6B">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940/人/年</w:t>
            </w:r>
          </w:p>
        </w:tc>
      </w:tr>
      <w:tr w14:paraId="2560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284E0159">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B9D92">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8E5C">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寄宿生补助标准</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5CD2">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400/人/年</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08BC0EEA">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400/人/年</w:t>
            </w:r>
          </w:p>
        </w:tc>
      </w:tr>
      <w:tr w14:paraId="64D9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63D698AA">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17F91">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378C">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特殊教育生补助标准</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035D">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6000人/年</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361FFB93">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6000人/年</w:t>
            </w:r>
          </w:p>
        </w:tc>
      </w:tr>
      <w:tr w14:paraId="5E4A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14:paraId="5D0CFAB0">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EC597">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0915">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义务教育适龄人口入学率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908E">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5213FD6E">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5F98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102BD618">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7C07D">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3E41">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义务教育阶段学生巩固率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0992">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7C60A597">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3332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6CDA7A3C">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7C11B">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B003">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义务教育均衡系数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1690">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逐步提高</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713C5B62">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逐步提高</w:t>
            </w:r>
          </w:p>
        </w:tc>
      </w:tr>
      <w:tr w14:paraId="104C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63D2DB58">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E533">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E9A8">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教育学生体质健康水平</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281F">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逐年提高</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008E8DF6">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逐年提高</w:t>
            </w:r>
          </w:p>
        </w:tc>
      </w:tr>
      <w:tr w14:paraId="0F58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14:paraId="58E56765">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F029D">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D2D8">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义务教育阶段学生满意率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5956">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138103A6">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1641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44F38316">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C707">
            <w:pPr>
              <w:keepNext w:val="0"/>
              <w:keepLines w:val="0"/>
              <w:pageBreakBefore w:val="0"/>
              <w:kinsoku/>
              <w:wordWrap/>
              <w:overflowPunct/>
              <w:topLinePunct w:val="0"/>
              <w:bidi w:val="0"/>
              <w:snapToGrid/>
              <w:spacing w:line="600" w:lineRule="exact"/>
              <w:jc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1D99">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人民群众满意率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AD62">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96%以上</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05CF981E">
            <w:pPr>
              <w:keepNext w:val="0"/>
              <w:keepLines w:val="0"/>
              <w:pageBreakBefore w:val="0"/>
              <w:widowControl/>
              <w:suppressLineNumbers w:val="0"/>
              <w:kinsoku/>
              <w:wordWrap/>
              <w:overflowPunct/>
              <w:topLinePunct w:val="0"/>
              <w:bidi w:val="0"/>
              <w:snapToGrid/>
              <w:spacing w:line="6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96%以上</w:t>
            </w:r>
          </w:p>
        </w:tc>
      </w:tr>
    </w:tbl>
    <w:p w14:paraId="7D516BE8">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hint="eastAsia" w:ascii="黑体" w:eastAsia="黑体" w:cs="黑体"/>
          <w:kern w:val="0"/>
          <w:sz w:val="32"/>
          <w:szCs w:val="32"/>
        </w:rPr>
      </w:pPr>
    </w:p>
    <w:p w14:paraId="1AB18D38">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hint="eastAsia" w:ascii="黑体" w:eastAsia="黑体" w:cs="黑体"/>
          <w:kern w:val="0"/>
          <w:sz w:val="32"/>
          <w:szCs w:val="32"/>
        </w:rPr>
      </w:pPr>
    </w:p>
    <w:p w14:paraId="247C080E">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黑体" w:eastAsia="黑体" w:cs="黑体"/>
          <w:kern w:val="0"/>
          <w:sz w:val="32"/>
          <w:szCs w:val="32"/>
        </w:rPr>
      </w:pPr>
      <w:r>
        <w:rPr>
          <w:rFonts w:hint="eastAsia" w:ascii="黑体" w:eastAsia="黑体" w:cs="黑体"/>
          <w:kern w:val="0"/>
          <w:sz w:val="32"/>
          <w:szCs w:val="32"/>
        </w:rPr>
        <w:t>三、偏离绩效目标的原因和下一步改进措施</w:t>
      </w:r>
    </w:p>
    <w:p w14:paraId="3D2CCE72">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无。</w:t>
      </w:r>
    </w:p>
    <w:p w14:paraId="6EE115DE">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黑体" w:eastAsia="黑体" w:cs="黑体"/>
          <w:kern w:val="0"/>
          <w:sz w:val="32"/>
          <w:szCs w:val="32"/>
        </w:rPr>
      </w:pPr>
      <w:r>
        <w:rPr>
          <w:rFonts w:hint="eastAsia" w:ascii="黑体" w:eastAsia="黑体" w:cs="黑体"/>
          <w:kern w:val="0"/>
          <w:sz w:val="32"/>
          <w:szCs w:val="32"/>
        </w:rPr>
        <w:t>四、绩效自评结果拟应用和公开情况</w:t>
      </w:r>
    </w:p>
    <w:p w14:paraId="62755232">
      <w:pPr>
        <w:keepNext w:val="0"/>
        <w:keepLines w:val="0"/>
        <w:pageBreakBefore w:val="0"/>
        <w:kinsoku/>
        <w:wordWrap/>
        <w:overflowPunct/>
        <w:topLinePunct w:val="0"/>
        <w:autoSpaceDE w:val="0"/>
        <w:autoSpaceDN w:val="0"/>
        <w:bidi w:val="0"/>
        <w:adjustRightInd w:val="0"/>
        <w:snapToGrid/>
        <w:spacing w:line="600" w:lineRule="exact"/>
        <w:jc w:val="left"/>
        <w:rPr>
          <w:rFonts w:ascii="黑体" w:eastAsia="黑体" w:cs="黑体"/>
          <w:kern w:val="0"/>
          <w:sz w:val="32"/>
          <w:szCs w:val="32"/>
        </w:rPr>
      </w:pPr>
      <w:r>
        <w:rPr>
          <w:rFonts w:hint="eastAsia" w:ascii="黑体" w:eastAsia="黑体" w:cs="黑体"/>
          <w:kern w:val="0"/>
          <w:sz w:val="32"/>
          <w:szCs w:val="32"/>
        </w:rPr>
        <w:t xml:space="preserve"> </w:t>
      </w:r>
      <w:r>
        <w:rPr>
          <w:rFonts w:ascii="黑体" w:eastAsia="黑体" w:cs="黑体"/>
          <w:kern w:val="0"/>
          <w:sz w:val="32"/>
          <w:szCs w:val="32"/>
        </w:rPr>
        <w:t xml:space="preserve">   </w:t>
      </w:r>
      <w:r>
        <w:rPr>
          <w:rFonts w:hint="eastAsia" w:eastAsia="仿宋_GB2312"/>
          <w:sz w:val="32"/>
          <w:szCs w:val="32"/>
        </w:rPr>
        <w:t>绩效自评结果拟向</w:t>
      </w:r>
      <w:r>
        <w:rPr>
          <w:rFonts w:hint="eastAsia" w:ascii="仿宋_GB2312" w:hAnsi="宋体" w:eastAsia="仿宋_GB2312"/>
          <w:sz w:val="32"/>
          <w:szCs w:val="32"/>
        </w:rPr>
        <w:t>政府门户网站</w:t>
      </w:r>
      <w:r>
        <w:rPr>
          <w:rFonts w:hint="eastAsia" w:eastAsia="仿宋_GB2312"/>
          <w:sz w:val="32"/>
          <w:szCs w:val="32"/>
        </w:rPr>
        <w:t>公开。</w:t>
      </w:r>
    </w:p>
    <w:p w14:paraId="77AF3153">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ascii="黑体" w:eastAsia="黑体" w:cs="黑体"/>
          <w:kern w:val="0"/>
          <w:sz w:val="32"/>
          <w:szCs w:val="32"/>
        </w:rPr>
      </w:pPr>
      <w:r>
        <w:rPr>
          <w:rFonts w:hint="eastAsia" w:ascii="黑体" w:eastAsia="黑体" w:cs="黑体"/>
          <w:kern w:val="0"/>
          <w:sz w:val="32"/>
          <w:szCs w:val="32"/>
        </w:rPr>
        <w:t>五、其他需要说明的问题</w:t>
      </w:r>
    </w:p>
    <w:p w14:paraId="2DCFFDA4">
      <w:pPr>
        <w:keepNext w:val="0"/>
        <w:keepLines w:val="0"/>
        <w:pageBreakBefore w:val="0"/>
        <w:kinsoku/>
        <w:wordWrap/>
        <w:overflowPunct/>
        <w:topLinePunct w:val="0"/>
        <w:autoSpaceDE w:val="0"/>
        <w:autoSpaceDN w:val="0"/>
        <w:bidi w:val="0"/>
        <w:adjustRightInd w:val="0"/>
        <w:snapToGrid/>
        <w:spacing w:line="600" w:lineRule="exact"/>
        <w:ind w:firstLine="645"/>
        <w:jc w:val="left"/>
        <w:rPr>
          <w:rFonts w:ascii="黑体" w:eastAsia="黑体" w:cs="黑体"/>
          <w:kern w:val="0"/>
          <w:sz w:val="32"/>
          <w:szCs w:val="32"/>
        </w:rPr>
      </w:pPr>
      <w:r>
        <w:rPr>
          <w:rFonts w:hint="eastAsia" w:ascii="黑体" w:eastAsia="黑体" w:cs="黑体"/>
          <w:kern w:val="0"/>
          <w:sz w:val="32"/>
          <w:szCs w:val="32"/>
        </w:rPr>
        <w:t>无</w:t>
      </w:r>
    </w:p>
    <w:p w14:paraId="52A53A1A">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hint="eastAsia" w:ascii="黑体" w:eastAsia="黑体" w:cs="黑体"/>
          <w:kern w:val="0"/>
          <w:sz w:val="32"/>
          <w:szCs w:val="32"/>
          <w:lang w:val="en-US" w:eastAsia="zh-CN"/>
        </w:rPr>
      </w:pPr>
      <w:r>
        <w:rPr>
          <w:rFonts w:hint="eastAsia" w:ascii="黑体" w:eastAsia="黑体" w:cs="黑体"/>
          <w:kern w:val="0"/>
          <w:sz w:val="32"/>
          <w:szCs w:val="32"/>
        </w:rPr>
        <w:t>六、</w:t>
      </w:r>
      <w:r>
        <w:rPr>
          <w:rFonts w:hint="eastAsia" w:ascii="黑体" w:eastAsia="黑体" w:cs="黑体"/>
          <w:kern w:val="0"/>
          <w:sz w:val="32"/>
          <w:szCs w:val="32"/>
          <w:lang w:eastAsia="zh-CN"/>
        </w:rPr>
        <w:t>附件</w:t>
      </w:r>
    </w:p>
    <w:p w14:paraId="5B41E4F8">
      <w:pPr>
        <w:keepNext w:val="0"/>
        <w:keepLines w:val="0"/>
        <w:pageBreakBefore w:val="0"/>
        <w:kinsoku/>
        <w:wordWrap/>
        <w:overflowPunct/>
        <w:topLinePunct w:val="0"/>
        <w:bidi w:val="0"/>
        <w:snapToGrid/>
        <w:spacing w:line="60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项目绩效目标自评表</w:t>
      </w:r>
    </w:p>
    <w:p w14:paraId="0E8DE6DE">
      <w:pPr>
        <w:keepNext w:val="0"/>
        <w:keepLines w:val="0"/>
        <w:pageBreakBefore w:val="0"/>
        <w:kinsoku/>
        <w:wordWrap/>
        <w:overflowPunct/>
        <w:topLinePunct w:val="0"/>
        <w:bidi w:val="0"/>
        <w:snapToGrid/>
        <w:spacing w:line="600" w:lineRule="exact"/>
        <w:ind w:firstLine="640" w:firstLineChars="200"/>
        <w:rPr>
          <w:rFonts w:hint="eastAsia" w:ascii="仿宋_GB2312" w:eastAsia="仿宋_GB2312" w:cs="仿宋_GB2312"/>
          <w:kern w:val="0"/>
          <w:sz w:val="32"/>
          <w:szCs w:val="32"/>
        </w:rPr>
      </w:pPr>
    </w:p>
    <w:p w14:paraId="28709762">
      <w:pPr>
        <w:keepNext w:val="0"/>
        <w:keepLines w:val="0"/>
        <w:pageBreakBefore w:val="0"/>
        <w:kinsoku/>
        <w:wordWrap/>
        <w:overflowPunct/>
        <w:topLinePunct w:val="0"/>
        <w:bidi w:val="0"/>
        <w:snapToGrid/>
        <w:spacing w:line="600" w:lineRule="exact"/>
        <w:ind w:firstLine="640" w:firstLineChars="200"/>
        <w:rPr>
          <w:rFonts w:hint="eastAsia" w:ascii="仿宋_GB2312" w:eastAsia="仿宋_GB2312" w:cs="仿宋_GB2312"/>
          <w:kern w:val="0"/>
          <w:sz w:val="32"/>
          <w:szCs w:val="32"/>
        </w:rPr>
      </w:pPr>
    </w:p>
    <w:p w14:paraId="45179B1F">
      <w:pPr>
        <w:keepNext w:val="0"/>
        <w:keepLines w:val="0"/>
        <w:pageBreakBefore w:val="0"/>
        <w:kinsoku/>
        <w:wordWrap/>
        <w:overflowPunct/>
        <w:topLinePunct w:val="0"/>
        <w:bidi w:val="0"/>
        <w:snapToGrid/>
        <w:spacing w:line="600" w:lineRule="exact"/>
        <w:ind w:firstLine="640" w:firstLineChars="200"/>
        <w:rPr>
          <w:rFonts w:hint="eastAsia" w:ascii="仿宋_GB2312" w:eastAsia="仿宋_GB2312" w:cs="仿宋_GB2312"/>
          <w:kern w:val="0"/>
          <w:sz w:val="32"/>
          <w:szCs w:val="32"/>
        </w:rPr>
      </w:pPr>
    </w:p>
    <w:p w14:paraId="4D7E3851">
      <w:pPr>
        <w:ind w:firstLine="640" w:firstLineChars="200"/>
      </w:pPr>
      <w:r>
        <w:rPr>
          <w:rFonts w:hint="eastAsia" w:ascii="仿宋_GB2312" w:eastAsia="仿宋_GB2312" w:cs="仿宋_GB2312"/>
          <w:kern w:val="0"/>
          <w:sz w:val="32"/>
          <w:szCs w:val="32"/>
        </w:rPr>
        <w:t xml:space="preserve">                      </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FZXBSJW--GB1-0">
    <w:altName w:val="微软雅黑"/>
    <w:panose1 w:val="00000000000000000000"/>
    <w:charset w:val="86"/>
    <w:family w:val="auto"/>
    <w:pitch w:val="default"/>
    <w:sig w:usb0="00000000" w:usb1="00000000" w:usb2="00000010" w:usb3="00000000" w:csb0="00040000" w:csb1="00000000"/>
  </w:font>
  <w:font w:name="TimesNewRomanPSMT">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mOWM0MDg5MmM3OTVkZTBjMjNlNDA3OTk4MGI0MjQifQ=="/>
  </w:docVars>
  <w:rsids>
    <w:rsidRoot w:val="0047600B"/>
    <w:rsid w:val="000D4DBF"/>
    <w:rsid w:val="0011780E"/>
    <w:rsid w:val="00130C12"/>
    <w:rsid w:val="0014706E"/>
    <w:rsid w:val="001860ED"/>
    <w:rsid w:val="002140D9"/>
    <w:rsid w:val="00217DB1"/>
    <w:rsid w:val="00242C88"/>
    <w:rsid w:val="002509F1"/>
    <w:rsid w:val="0026085F"/>
    <w:rsid w:val="00291F23"/>
    <w:rsid w:val="002E3A64"/>
    <w:rsid w:val="003B7E2D"/>
    <w:rsid w:val="0047600B"/>
    <w:rsid w:val="00506C4F"/>
    <w:rsid w:val="00530A20"/>
    <w:rsid w:val="005B10B6"/>
    <w:rsid w:val="00611F8D"/>
    <w:rsid w:val="0062453C"/>
    <w:rsid w:val="00697F18"/>
    <w:rsid w:val="00805442"/>
    <w:rsid w:val="008F2950"/>
    <w:rsid w:val="00941090"/>
    <w:rsid w:val="009D5DC0"/>
    <w:rsid w:val="00A521B8"/>
    <w:rsid w:val="00BC0F22"/>
    <w:rsid w:val="00C13F2B"/>
    <w:rsid w:val="00C848EE"/>
    <w:rsid w:val="00DD604C"/>
    <w:rsid w:val="09511A62"/>
    <w:rsid w:val="0A6B509F"/>
    <w:rsid w:val="0D880D29"/>
    <w:rsid w:val="36333126"/>
    <w:rsid w:val="457D0381"/>
    <w:rsid w:val="550A097B"/>
    <w:rsid w:val="5A235D6E"/>
    <w:rsid w:val="5D627646"/>
    <w:rsid w:val="60364C53"/>
    <w:rsid w:val="604D18C7"/>
    <w:rsid w:val="60BB315E"/>
    <w:rsid w:val="627B0648"/>
    <w:rsid w:val="712F31DC"/>
    <w:rsid w:val="7991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1280</Words>
  <Characters>1482</Characters>
  <Lines>10</Lines>
  <Paragraphs>2</Paragraphs>
  <TotalTime>1</TotalTime>
  <ScaleCrop>false</ScaleCrop>
  <LinksUpToDate>false</LinksUpToDate>
  <CharactersWithSpaces>1538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2020-04-26T01:30:00Z</dcterms:created>
  <dc:creator>Administrator</dc:creator>
  <cp:lastModifiedBy>AL</cp:lastModifiedBy>
  <cp:lastPrinted>2025-03-10T02:53:00Z</cp:lastPrinted>
  <dcterms:modified xsi:type="dcterms:W3CDTF">2025-09-02T00:59:55Z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C80E33EE19A04E26862C16B27B0867D7_13</vt:lpwstr>
  </property>
  <property fmtid="{D5CDD505-2E9C-101B-9397-08002B2CF9AE}" pid="4" name="KSOTemplateDocerSaveRecord">
    <vt:lpwstr>eyJoZGlkIjoiOWFlY2Y2ODdhOWQwMWM3NWU5ZWY3YmJkZjc4N2Q3YzIiLCJ1c2VySWQiOiIxMjQxMTAxMTM2In0=</vt:lpwstr>
  </property>
</Properties>
</file>