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简体" w:cs="Times New Roman"/>
          <w:sz w:val="44"/>
          <w:szCs w:val="44"/>
        </w:rPr>
      </w:pPr>
    </w:p>
    <w:p>
      <w:pPr>
        <w:spacing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常宁市</w:t>
      </w:r>
      <w:r>
        <w:rPr>
          <w:rFonts w:hint="eastAsia" w:ascii="Times New Roman" w:hAnsi="Times New Roman" w:eastAsia="方正小标宋简体" w:cs="Times New Roman"/>
          <w:sz w:val="44"/>
          <w:szCs w:val="44"/>
        </w:rPr>
        <w:t>庙前镇人民政府</w:t>
      </w:r>
    </w:p>
    <w:p>
      <w:pPr>
        <w:spacing w:line="580" w:lineRule="exact"/>
        <w:jc w:val="center"/>
        <w:rPr>
          <w:rFonts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ascii="Times New Roman" w:hAnsi="Times New Roman" w:eastAsia="方正小标宋简体" w:cs="Times New Roman"/>
          <w:sz w:val="44"/>
          <w:szCs w:val="44"/>
        </w:rPr>
        <w:t>年度部门整体支出绩效评价报告</w:t>
      </w:r>
    </w:p>
    <w:p>
      <w:pPr>
        <w:spacing w:line="580" w:lineRule="exact"/>
        <w:jc w:val="center"/>
        <w:rPr>
          <w:rFonts w:ascii="Times New Roman" w:hAnsi="Times New Roman" w:eastAsia="方正小标宋简体" w:cs="Times New Roman"/>
          <w:sz w:val="44"/>
          <w:szCs w:val="44"/>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一、部门概况</w:t>
      </w:r>
    </w:p>
    <w:p>
      <w:pPr>
        <w:pStyle w:val="7"/>
        <w:spacing w:after="0"/>
        <w:ind w:left="0" w:leftChars="0" w:firstLine="640" w:firstLineChars="200"/>
        <w:rPr>
          <w:rFonts w:ascii="仿宋" w:hAnsi="仿宋" w:eastAsia="仿宋"/>
          <w:kern w:val="2"/>
          <w:sz w:val="32"/>
          <w:highlight w:val="white"/>
        </w:rPr>
      </w:pPr>
      <w:r>
        <w:rPr>
          <w:rFonts w:hint="eastAsia" w:ascii="黑体" w:hAnsi="黑体" w:eastAsia="黑体" w:cs="黑体"/>
          <w:sz w:val="32"/>
          <w:szCs w:val="32"/>
        </w:rPr>
        <w:t>（一）基本情况。</w:t>
      </w:r>
      <w:r>
        <w:rPr>
          <w:rFonts w:hint="eastAsia" w:ascii="仿宋" w:hAnsi="仿宋" w:eastAsia="仿宋"/>
          <w:kern w:val="2"/>
          <w:sz w:val="32"/>
          <w:highlight w:val="white"/>
        </w:rPr>
        <w:t>常宁市庙前镇人民政府位于常宁市南部，总面积约78.6平方公里，常宁市庙前镇人民政府共有11个行政村，1个社区，人口约2.1万人。</w:t>
      </w:r>
    </w:p>
    <w:p>
      <w:pPr>
        <w:pStyle w:val="6"/>
        <w:spacing w:beforeAutospacing="0" w:afterAutospacing="0" w:line="360" w:lineRule="auto"/>
        <w:ind w:firstLine="640" w:firstLineChars="200"/>
        <w:rPr>
          <w:rFonts w:ascii="仿宋" w:hAnsi="仿宋" w:eastAsia="仿宋" w:cstheme="minorBidi"/>
          <w:kern w:val="2"/>
          <w:sz w:val="32"/>
          <w:highlight w:val="white"/>
        </w:rPr>
      </w:pPr>
      <w:r>
        <w:rPr>
          <w:rFonts w:hint="eastAsia" w:ascii="仿宋" w:hAnsi="仿宋" w:eastAsia="仿宋" w:cstheme="minorBidi"/>
          <w:kern w:val="2"/>
          <w:sz w:val="32"/>
          <w:highlight w:val="white"/>
        </w:rPr>
        <w:t>根据编委核定本单位内设处室9个，所属事业单位4个。其中：内设处室分别是党政办公室、党建办公室、经济发展办公室、</w:t>
      </w:r>
      <w:r>
        <w:rPr>
          <w:rFonts w:hint="eastAsia" w:ascii="仿宋" w:hAnsi="仿宋" w:eastAsia="仿宋" w:cstheme="minorBidi"/>
          <w:kern w:val="2"/>
          <w:sz w:val="32"/>
          <w:highlight w:val="white"/>
          <w:lang w:val="en-US" w:eastAsia="zh-CN"/>
        </w:rPr>
        <w:t>平安法</w:t>
      </w:r>
      <w:r>
        <w:rPr>
          <w:rFonts w:hint="eastAsia" w:ascii="仿宋" w:hAnsi="仿宋" w:eastAsia="仿宋" w:cstheme="minorBidi"/>
          <w:kern w:val="2"/>
          <w:sz w:val="32"/>
          <w:highlight w:val="white"/>
        </w:rPr>
        <w:t>治</w:t>
      </w:r>
      <w:r>
        <w:rPr>
          <w:rFonts w:hint="eastAsia" w:ascii="仿宋" w:hAnsi="仿宋" w:eastAsia="仿宋" w:cstheme="minorBidi"/>
          <w:kern w:val="2"/>
          <w:sz w:val="32"/>
          <w:highlight w:val="white"/>
          <w:lang w:val="en-US" w:eastAsia="zh-CN"/>
        </w:rPr>
        <w:t>和</w:t>
      </w:r>
      <w:r>
        <w:rPr>
          <w:rFonts w:hint="eastAsia" w:ascii="仿宋" w:hAnsi="仿宋" w:eastAsia="仿宋" w:cstheme="minorBidi"/>
          <w:kern w:val="2"/>
          <w:sz w:val="32"/>
          <w:highlight w:val="white"/>
        </w:rPr>
        <w:t>应急管理办公室、</w:t>
      </w:r>
      <w:r>
        <w:rPr>
          <w:rFonts w:hint="eastAsia" w:ascii="仿宋" w:hAnsi="仿宋" w:eastAsia="仿宋" w:cstheme="minorBidi"/>
          <w:kern w:val="2"/>
          <w:sz w:val="32"/>
          <w:highlight w:val="white"/>
          <w:lang w:val="en-US" w:eastAsia="zh-CN"/>
        </w:rPr>
        <w:t>生态办公室、</w:t>
      </w:r>
      <w:r>
        <w:rPr>
          <w:rFonts w:hint="eastAsia" w:ascii="仿宋" w:hAnsi="仿宋" w:eastAsia="仿宋" w:cstheme="minorBidi"/>
          <w:kern w:val="2"/>
          <w:sz w:val="32"/>
          <w:highlight w:val="white"/>
        </w:rPr>
        <w:t>农业综合服务中心、社会事</w:t>
      </w:r>
      <w:r>
        <w:rPr>
          <w:rFonts w:hint="eastAsia" w:ascii="仿宋" w:hAnsi="仿宋" w:eastAsia="仿宋" w:cstheme="minorBidi"/>
          <w:kern w:val="2"/>
          <w:sz w:val="32"/>
          <w:highlight w:val="white"/>
          <w:lang w:val="en-US" w:eastAsia="zh-CN"/>
        </w:rPr>
        <w:t>务</w:t>
      </w:r>
      <w:r>
        <w:rPr>
          <w:rFonts w:hint="eastAsia" w:ascii="仿宋" w:hAnsi="仿宋" w:eastAsia="仿宋" w:cstheme="minorBidi"/>
          <w:kern w:val="2"/>
          <w:sz w:val="32"/>
          <w:highlight w:val="white"/>
        </w:rPr>
        <w:t>综合服务中心、</w:t>
      </w:r>
      <w:r>
        <w:rPr>
          <w:rFonts w:hint="eastAsia" w:ascii="仿宋" w:hAnsi="仿宋" w:eastAsia="仿宋" w:cstheme="minorBidi"/>
          <w:kern w:val="2"/>
          <w:sz w:val="32"/>
          <w:highlight w:val="white"/>
          <w:lang w:val="en-US" w:eastAsia="zh-CN"/>
        </w:rPr>
        <w:t>退役军人服务站、</w:t>
      </w:r>
      <w:r>
        <w:rPr>
          <w:rFonts w:hint="eastAsia" w:ascii="仿宋" w:hAnsi="仿宋" w:eastAsia="仿宋" w:cstheme="minorBidi"/>
          <w:kern w:val="2"/>
          <w:sz w:val="32"/>
          <w:highlight w:val="white"/>
        </w:rPr>
        <w:t>综合</w:t>
      </w:r>
      <w:r>
        <w:rPr>
          <w:rFonts w:hint="eastAsia" w:ascii="仿宋" w:hAnsi="仿宋" w:eastAsia="仿宋" w:cstheme="minorBidi"/>
          <w:kern w:val="2"/>
          <w:sz w:val="32"/>
          <w:highlight w:val="white"/>
          <w:lang w:val="en-US" w:eastAsia="zh-CN"/>
        </w:rPr>
        <w:t>行政</w:t>
      </w:r>
      <w:r>
        <w:rPr>
          <w:rFonts w:hint="eastAsia" w:ascii="仿宋" w:hAnsi="仿宋" w:eastAsia="仿宋" w:cstheme="minorBidi"/>
          <w:kern w:val="2"/>
          <w:sz w:val="32"/>
          <w:highlight w:val="white"/>
        </w:rPr>
        <w:t>执法大队。</w:t>
      </w:r>
    </w:p>
    <w:p>
      <w:pPr>
        <w:pStyle w:val="12"/>
        <w:ind w:firstLine="640"/>
        <w:rPr>
          <w:rFonts w:ascii="仿宋" w:hAnsi="仿宋" w:eastAsia="仿宋"/>
          <w:sz w:val="32"/>
          <w:highlight w:val="white"/>
        </w:rPr>
      </w:pPr>
      <w:r>
        <w:rPr>
          <w:rFonts w:hint="eastAsia" w:ascii="仿宋" w:hAnsi="仿宋" w:eastAsia="仿宋"/>
          <w:sz w:val="32"/>
          <w:highlight w:val="white"/>
        </w:rPr>
        <w:t>本部门编制数81人,在职人数63人，其中:在岗人数63人；离退休人数1</w:t>
      </w:r>
      <w:r>
        <w:rPr>
          <w:rFonts w:hint="eastAsia" w:ascii="仿宋" w:hAnsi="仿宋" w:eastAsia="仿宋"/>
          <w:sz w:val="32"/>
          <w:highlight w:val="white"/>
          <w:lang w:val="en-US" w:eastAsia="zh-CN"/>
        </w:rPr>
        <w:t>8</w:t>
      </w:r>
      <w:r>
        <w:rPr>
          <w:rFonts w:hint="eastAsia" w:ascii="仿宋" w:hAnsi="仿宋" w:eastAsia="仿宋"/>
          <w:sz w:val="32"/>
          <w:highlight w:val="white"/>
        </w:rPr>
        <w:t>人。</w:t>
      </w:r>
    </w:p>
    <w:p>
      <w:pPr>
        <w:pStyle w:val="12"/>
        <w:ind w:firstLine="640"/>
        <w:rPr>
          <w:rFonts w:ascii="黑体" w:hAnsi="黑体" w:eastAsia="黑体" w:cs="黑体"/>
          <w:kern w:val="0"/>
          <w:sz w:val="32"/>
          <w:szCs w:val="32"/>
        </w:rPr>
      </w:pPr>
      <w:r>
        <w:rPr>
          <w:rFonts w:hint="eastAsia" w:ascii="黑体" w:hAnsi="黑体" w:eastAsia="黑体" w:cs="黑体"/>
          <w:kern w:val="0"/>
          <w:sz w:val="32"/>
          <w:szCs w:val="32"/>
        </w:rPr>
        <w:t>（二）主要工作职能。</w:t>
      </w:r>
    </w:p>
    <w:p>
      <w:pPr>
        <w:pStyle w:val="6"/>
        <w:spacing w:beforeAutospacing="0" w:afterAutospacing="0" w:line="360" w:lineRule="auto"/>
        <w:ind w:firstLine="640" w:firstLineChars="200"/>
        <w:rPr>
          <w:rFonts w:ascii="仿宋" w:hAnsi="仿宋" w:eastAsia="仿宋" w:cstheme="minorBidi"/>
          <w:kern w:val="2"/>
          <w:sz w:val="32"/>
          <w:highlight w:val="white"/>
        </w:rPr>
      </w:pPr>
      <w:r>
        <w:rPr>
          <w:rFonts w:hint="eastAsia" w:ascii="仿宋" w:hAnsi="仿宋" w:eastAsia="仿宋" w:cstheme="minorBidi"/>
          <w:kern w:val="2"/>
          <w:sz w:val="32"/>
          <w:highlight w:val="white"/>
        </w:rPr>
        <w:t>1、宣传法律政策，促进村民自治。贯彻执行法律法规，落实党和国家的方针、政策，坚持依法行政，推进乡镇民主政治建设，加强基层党组织建设。</w:t>
      </w:r>
    </w:p>
    <w:p>
      <w:pPr>
        <w:pStyle w:val="6"/>
        <w:spacing w:beforeAutospacing="0" w:afterAutospacing="0" w:line="360" w:lineRule="auto"/>
        <w:ind w:firstLine="640" w:firstLineChars="200"/>
        <w:rPr>
          <w:rFonts w:ascii="仿宋" w:hAnsi="仿宋" w:eastAsia="仿宋" w:cstheme="minorBidi"/>
          <w:kern w:val="2"/>
          <w:sz w:val="32"/>
          <w:highlight w:val="white"/>
        </w:rPr>
      </w:pPr>
      <w:r>
        <w:rPr>
          <w:rFonts w:hint="eastAsia" w:ascii="仿宋" w:hAnsi="仿宋" w:eastAsia="仿宋" w:cstheme="minorBidi"/>
          <w:kern w:val="2"/>
          <w:sz w:val="32"/>
          <w:highlight w:val="white"/>
        </w:rPr>
        <w:t>2、发展农村经济，增加农民收入。组织指导农业和农村经济结构调整，加强农业综合生产能力建设；健全农业社会化服务体系，完善农业支持保护体系，推进农业现代化；支持保护农民兴办各种经济组织，组织引导农村富余劳动力向非农产业和城镇转移，增加农民收入，不断提高人民生活水平。</w:t>
      </w:r>
    </w:p>
    <w:p>
      <w:pPr>
        <w:pStyle w:val="6"/>
        <w:spacing w:beforeAutospacing="0" w:afterAutospacing="0" w:line="360" w:lineRule="auto"/>
        <w:ind w:firstLine="640" w:firstLineChars="200"/>
        <w:rPr>
          <w:rFonts w:ascii="仿宋" w:hAnsi="仿宋" w:eastAsia="仿宋" w:cstheme="minorBidi"/>
          <w:kern w:val="2"/>
          <w:sz w:val="32"/>
          <w:highlight w:val="white"/>
        </w:rPr>
      </w:pPr>
      <w:r>
        <w:rPr>
          <w:rFonts w:hint="eastAsia" w:ascii="仿宋" w:hAnsi="仿宋" w:eastAsia="仿宋" w:cstheme="minorBidi"/>
          <w:kern w:val="2"/>
          <w:sz w:val="32"/>
          <w:highlight w:val="white"/>
        </w:rPr>
        <w:t>3、加强社会管理，创造良好环境。规范农村集体经济管理，推进政务、村务公开；抓好产业发展和稳岗就业，不断提高脱贫群众经济收入；加强安全生产和公共安全，组织抢险救灾、优抚救助，及时上报和处置重大社情、疫情、险情，保护人民群众的生命财产安全。</w:t>
      </w:r>
    </w:p>
    <w:p>
      <w:pPr>
        <w:pStyle w:val="6"/>
        <w:spacing w:beforeAutospacing="0" w:afterAutospacing="0" w:line="360" w:lineRule="auto"/>
        <w:ind w:firstLine="640" w:firstLineChars="200"/>
        <w:rPr>
          <w:rFonts w:ascii="仿宋" w:hAnsi="仿宋" w:eastAsia="仿宋" w:cstheme="minorBidi"/>
          <w:kern w:val="2"/>
          <w:sz w:val="32"/>
          <w:highlight w:val="white"/>
        </w:rPr>
      </w:pPr>
      <w:r>
        <w:rPr>
          <w:rFonts w:hint="eastAsia" w:ascii="仿宋" w:hAnsi="仿宋" w:eastAsia="仿宋" w:cstheme="minorBidi"/>
          <w:kern w:val="2"/>
          <w:sz w:val="32"/>
          <w:highlight w:val="white"/>
        </w:rPr>
        <w:t>4、发展公益事业，提供公共服务。搞好乡村公共设施建设和小城镇建设，开展社会保障服务；发展科教文卫事业，提供经济发展和社会进步信息服务，促进精神文明建设。</w:t>
      </w:r>
    </w:p>
    <w:p>
      <w:pPr>
        <w:pStyle w:val="6"/>
        <w:spacing w:beforeAutospacing="0" w:afterAutospacing="0" w:line="360" w:lineRule="auto"/>
        <w:ind w:firstLine="640" w:firstLineChars="200"/>
        <w:rPr>
          <w:rFonts w:ascii="仿宋" w:hAnsi="仿宋" w:eastAsia="仿宋" w:cstheme="minorBidi"/>
          <w:kern w:val="2"/>
          <w:sz w:val="32"/>
          <w:highlight w:val="white"/>
        </w:rPr>
      </w:pPr>
      <w:r>
        <w:rPr>
          <w:rFonts w:hint="eastAsia" w:ascii="仿宋" w:hAnsi="仿宋" w:eastAsia="仿宋" w:cstheme="minorBidi"/>
          <w:kern w:val="2"/>
          <w:sz w:val="32"/>
          <w:highlight w:val="white"/>
        </w:rPr>
        <w:t>5、加强综合治理，维护社会稳定。调解民事纠纷，化解社会矛盾，接待上访群众，处理群体性突发事件，保证社会公正，维护社会秩序和社会稳定。</w:t>
      </w:r>
    </w:p>
    <w:p>
      <w:pPr>
        <w:pStyle w:val="6"/>
        <w:spacing w:beforeAutospacing="0" w:afterAutospacing="0" w:line="360" w:lineRule="auto"/>
        <w:ind w:firstLine="640" w:firstLineChars="200"/>
        <w:rPr>
          <w:rFonts w:ascii="仿宋" w:hAnsi="仿宋" w:eastAsia="仿宋" w:cstheme="minorBidi"/>
          <w:kern w:val="2"/>
          <w:sz w:val="32"/>
          <w:highlight w:val="white"/>
        </w:rPr>
      </w:pPr>
      <w:r>
        <w:rPr>
          <w:rFonts w:hint="eastAsia" w:ascii="仿宋" w:hAnsi="仿宋" w:eastAsia="仿宋" w:cstheme="minorBidi"/>
          <w:kern w:val="2"/>
          <w:sz w:val="32"/>
          <w:highlight w:val="white"/>
        </w:rPr>
        <w:t>6、贯彻执行相关法律法规，落实党和国家的方针、政策，承担上级交办的其他任务。</w:t>
      </w:r>
    </w:p>
    <w:p>
      <w:pPr>
        <w:spacing w:line="580" w:lineRule="exact"/>
        <w:rPr>
          <w:rFonts w:ascii="楷体_GB2312" w:hAnsi="楷体_GB2312" w:eastAsia="楷体_GB2312" w:cs="楷体_GB2312"/>
          <w:b/>
          <w:bCs/>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二、部门整体支出情况</w:t>
      </w:r>
    </w:p>
    <w:p>
      <w:pPr>
        <w:pStyle w:val="6"/>
        <w:spacing w:beforeAutospacing="0" w:afterAutospacing="0" w:line="360" w:lineRule="auto"/>
        <w:ind w:firstLine="640" w:firstLineChars="200"/>
        <w:rPr>
          <w:rFonts w:ascii="仿宋" w:hAnsi="仿宋" w:eastAsia="仿宋" w:cstheme="minorBidi"/>
          <w:kern w:val="2"/>
          <w:sz w:val="32"/>
          <w:highlight w:val="white"/>
        </w:rPr>
      </w:pPr>
      <w:r>
        <w:rPr>
          <w:rFonts w:hint="eastAsia" w:ascii="仿宋" w:hAnsi="仿宋" w:eastAsia="仿宋" w:cstheme="minorBidi"/>
          <w:kern w:val="2"/>
          <w:sz w:val="32"/>
          <w:highlight w:val="white"/>
        </w:rPr>
        <w:t>202</w:t>
      </w:r>
      <w:r>
        <w:rPr>
          <w:rFonts w:hint="eastAsia" w:ascii="仿宋" w:hAnsi="仿宋" w:eastAsia="仿宋" w:cstheme="minorBidi"/>
          <w:kern w:val="2"/>
          <w:sz w:val="32"/>
          <w:highlight w:val="white"/>
          <w:lang w:val="en-US" w:eastAsia="zh-CN"/>
        </w:rPr>
        <w:t>4</w:t>
      </w:r>
      <w:r>
        <w:rPr>
          <w:rFonts w:hint="eastAsia" w:ascii="仿宋" w:hAnsi="仿宋" w:eastAsia="仿宋" w:cstheme="minorBidi"/>
          <w:kern w:val="2"/>
          <w:sz w:val="32"/>
          <w:highlight w:val="white"/>
        </w:rPr>
        <w:t>年庙前镇本年收入</w:t>
      </w:r>
      <w:r>
        <w:rPr>
          <w:rFonts w:hint="eastAsia" w:ascii="仿宋" w:hAnsi="仿宋" w:eastAsia="仿宋" w:cstheme="minorBidi"/>
          <w:kern w:val="2"/>
          <w:sz w:val="32"/>
          <w:highlight w:val="white"/>
          <w:lang w:val="en-US" w:eastAsia="zh-CN"/>
        </w:rPr>
        <w:t>1701.73</w:t>
      </w:r>
      <w:r>
        <w:rPr>
          <w:rFonts w:hint="eastAsia" w:ascii="仿宋" w:hAnsi="仿宋" w:eastAsia="仿宋" w:cstheme="minorBidi"/>
          <w:kern w:val="2"/>
          <w:sz w:val="32"/>
          <w:highlight w:val="white"/>
        </w:rPr>
        <w:t>万元，其中，一般公共预算拨款</w:t>
      </w:r>
      <w:r>
        <w:rPr>
          <w:rFonts w:hint="eastAsia" w:ascii="仿宋" w:hAnsi="仿宋" w:eastAsia="仿宋" w:cstheme="minorBidi"/>
          <w:kern w:val="2"/>
          <w:sz w:val="32"/>
          <w:highlight w:val="white"/>
          <w:lang w:val="en-US" w:eastAsia="zh-CN"/>
        </w:rPr>
        <w:t>1609.18</w:t>
      </w:r>
      <w:r>
        <w:rPr>
          <w:rFonts w:hint="eastAsia" w:ascii="仿宋" w:hAnsi="仿宋" w:eastAsia="仿宋" w:cstheme="minorBidi"/>
          <w:kern w:val="2"/>
          <w:sz w:val="32"/>
          <w:highlight w:val="white"/>
        </w:rPr>
        <w:t>万元，占总收入比重的</w:t>
      </w:r>
      <w:r>
        <w:rPr>
          <w:rFonts w:hint="eastAsia" w:ascii="仿宋" w:hAnsi="仿宋" w:eastAsia="仿宋" w:cstheme="minorBidi"/>
          <w:kern w:val="2"/>
          <w:sz w:val="32"/>
          <w:highlight w:val="white"/>
          <w:lang w:val="en-US" w:eastAsia="zh-CN"/>
        </w:rPr>
        <w:t>94.56</w:t>
      </w:r>
      <w:r>
        <w:rPr>
          <w:rFonts w:hint="eastAsia" w:ascii="仿宋" w:hAnsi="仿宋" w:eastAsia="仿宋" w:cstheme="minorBidi"/>
          <w:kern w:val="2"/>
          <w:sz w:val="32"/>
          <w:highlight w:val="white"/>
        </w:rPr>
        <w:t>%，政府性基金预算拨款</w:t>
      </w:r>
      <w:r>
        <w:rPr>
          <w:rFonts w:hint="eastAsia" w:ascii="仿宋" w:hAnsi="仿宋" w:eastAsia="仿宋" w:cstheme="minorBidi"/>
          <w:kern w:val="2"/>
          <w:sz w:val="32"/>
          <w:highlight w:val="white"/>
          <w:lang w:val="en-US" w:eastAsia="zh-CN"/>
        </w:rPr>
        <w:t>92.55</w:t>
      </w:r>
      <w:r>
        <w:rPr>
          <w:rFonts w:hint="eastAsia" w:ascii="仿宋" w:hAnsi="仿宋" w:eastAsia="仿宋" w:cstheme="minorBidi"/>
          <w:kern w:val="2"/>
          <w:sz w:val="32"/>
          <w:highlight w:val="white"/>
        </w:rPr>
        <w:t>万元，占总收入比重的</w:t>
      </w:r>
      <w:r>
        <w:rPr>
          <w:rFonts w:hint="eastAsia" w:ascii="仿宋" w:hAnsi="仿宋" w:eastAsia="仿宋" w:cstheme="minorBidi"/>
          <w:kern w:val="2"/>
          <w:sz w:val="32"/>
          <w:highlight w:val="white"/>
          <w:lang w:val="en-US" w:eastAsia="zh-CN"/>
        </w:rPr>
        <w:t>5.44</w:t>
      </w:r>
      <w:r>
        <w:rPr>
          <w:rFonts w:hint="eastAsia" w:ascii="仿宋" w:hAnsi="仿宋" w:eastAsia="仿宋" w:cstheme="minorBidi"/>
          <w:kern w:val="2"/>
          <w:sz w:val="32"/>
          <w:highlight w:val="white"/>
        </w:rPr>
        <w:t>%。</w:t>
      </w:r>
    </w:p>
    <w:p>
      <w:pPr>
        <w:ind w:firstLine="640" w:firstLineChars="200"/>
        <w:rPr>
          <w:rFonts w:ascii="仿宋_GB2312" w:eastAsia="仿宋_GB2312"/>
          <w:sz w:val="32"/>
          <w:szCs w:val="32"/>
        </w:rPr>
      </w:pPr>
      <w:r>
        <w:rPr>
          <w:rFonts w:hint="eastAsia" w:ascii="仿宋" w:hAnsi="仿宋" w:eastAsia="仿宋"/>
          <w:sz w:val="32"/>
          <w:highlight w:val="white"/>
        </w:rPr>
        <w:t>本年支出</w:t>
      </w:r>
      <w:r>
        <w:rPr>
          <w:rFonts w:hint="eastAsia" w:ascii="仿宋" w:hAnsi="仿宋" w:eastAsia="仿宋" w:cstheme="minorBidi"/>
          <w:kern w:val="2"/>
          <w:sz w:val="32"/>
          <w:highlight w:val="white"/>
          <w:lang w:val="en-US" w:eastAsia="zh-CN"/>
        </w:rPr>
        <w:t>1701.73</w:t>
      </w:r>
      <w:r>
        <w:rPr>
          <w:rFonts w:hint="eastAsia" w:ascii="仿宋" w:hAnsi="仿宋" w:eastAsia="仿宋"/>
          <w:sz w:val="32"/>
          <w:highlight w:val="white"/>
        </w:rPr>
        <w:t>万元，按支出性质分其中：基本支出</w:t>
      </w:r>
      <w:r>
        <w:rPr>
          <w:rFonts w:hint="eastAsia" w:ascii="仿宋" w:hAnsi="仿宋" w:eastAsia="仿宋"/>
          <w:sz w:val="32"/>
          <w:highlight w:val="white"/>
          <w:lang w:val="en-US" w:eastAsia="zh-CN"/>
        </w:rPr>
        <w:t>740.52</w:t>
      </w:r>
      <w:r>
        <w:rPr>
          <w:rFonts w:hint="eastAsia" w:ascii="仿宋" w:hAnsi="仿宋" w:eastAsia="仿宋"/>
          <w:sz w:val="32"/>
          <w:highlight w:val="white"/>
        </w:rPr>
        <w:t>万元</w:t>
      </w:r>
      <w:r>
        <w:rPr>
          <w:rFonts w:hint="eastAsia" w:ascii="仿宋" w:hAnsi="仿宋" w:eastAsia="仿宋"/>
          <w:sz w:val="32"/>
          <w:highlight w:val="white"/>
          <w:lang w:val="zh-CN"/>
        </w:rPr>
        <w:t>，</w:t>
      </w:r>
      <w:r>
        <w:rPr>
          <w:rFonts w:hint="eastAsia" w:ascii="仿宋" w:hAnsi="仿宋" w:eastAsia="仿宋"/>
          <w:sz w:val="32"/>
          <w:highlight w:val="white"/>
        </w:rPr>
        <w:t>占总支出</w:t>
      </w:r>
      <w:r>
        <w:rPr>
          <w:rFonts w:hint="eastAsia" w:ascii="仿宋" w:hAnsi="仿宋" w:eastAsia="仿宋"/>
          <w:sz w:val="32"/>
          <w:highlight w:val="white"/>
          <w:lang w:val="en-US" w:eastAsia="zh-CN"/>
        </w:rPr>
        <w:t>43.52</w:t>
      </w:r>
      <w:r>
        <w:rPr>
          <w:rFonts w:hint="eastAsia" w:ascii="仿宋" w:hAnsi="仿宋" w:eastAsia="仿宋"/>
          <w:sz w:val="32"/>
          <w:highlight w:val="white"/>
        </w:rPr>
        <w:t>%，</w:t>
      </w:r>
      <w:r>
        <w:rPr>
          <w:rFonts w:hint="eastAsia" w:ascii="仿宋_GB2312" w:eastAsia="仿宋_GB2312"/>
          <w:sz w:val="32"/>
          <w:szCs w:val="32"/>
        </w:rPr>
        <w:t>其中：人员经费</w:t>
      </w:r>
      <w:r>
        <w:rPr>
          <w:rFonts w:hint="eastAsia" w:ascii="仿宋_GB2312" w:eastAsia="仿宋_GB2312"/>
          <w:sz w:val="32"/>
          <w:szCs w:val="32"/>
          <w:lang w:val="en-US" w:eastAsia="zh-CN"/>
        </w:rPr>
        <w:t>665.12</w:t>
      </w:r>
      <w:r>
        <w:rPr>
          <w:rFonts w:hint="eastAsia" w:ascii="仿宋_GB2312" w:eastAsia="仿宋_GB2312"/>
          <w:sz w:val="32"/>
          <w:szCs w:val="32"/>
        </w:rPr>
        <w:t>万元主要用于在职人员工资福利、基本养老保险缴费、医疗保险、</w:t>
      </w:r>
      <w:r>
        <w:rPr>
          <w:rFonts w:hint="eastAsia" w:ascii="仿宋_GB2312" w:eastAsia="仿宋_GB2312"/>
          <w:sz w:val="32"/>
          <w:szCs w:val="32"/>
          <w:lang w:val="en-US" w:eastAsia="zh-CN"/>
        </w:rPr>
        <w:t>其他社会保障缴费、</w:t>
      </w:r>
      <w:r>
        <w:rPr>
          <w:rFonts w:hint="eastAsia" w:ascii="仿宋_GB2312" w:eastAsia="仿宋_GB2312"/>
          <w:sz w:val="32"/>
          <w:szCs w:val="32"/>
        </w:rPr>
        <w:t>住房公积金、</w:t>
      </w:r>
      <w:r>
        <w:rPr>
          <w:rFonts w:hint="eastAsia" w:ascii="仿宋_GB2312" w:eastAsia="仿宋_GB2312"/>
          <w:sz w:val="32"/>
          <w:szCs w:val="32"/>
          <w:lang w:val="en-US" w:eastAsia="zh-CN"/>
        </w:rPr>
        <w:t>其他工资福利支出</w:t>
      </w:r>
      <w:r>
        <w:rPr>
          <w:rFonts w:hint="eastAsia" w:ascii="仿宋_GB2312" w:eastAsia="仿宋_GB2312"/>
          <w:sz w:val="32"/>
          <w:szCs w:val="32"/>
        </w:rPr>
        <w:t>等；公用经费</w:t>
      </w:r>
      <w:r>
        <w:rPr>
          <w:rFonts w:hint="eastAsia" w:ascii="仿宋_GB2312" w:eastAsia="仿宋_GB2312"/>
          <w:sz w:val="32"/>
          <w:szCs w:val="32"/>
          <w:lang w:val="en-US" w:eastAsia="zh-CN"/>
        </w:rPr>
        <w:t>75.40</w:t>
      </w:r>
      <w:r>
        <w:rPr>
          <w:rFonts w:hint="eastAsia" w:ascii="仿宋_GB2312" w:eastAsia="仿宋_GB2312"/>
          <w:sz w:val="32"/>
          <w:szCs w:val="32"/>
        </w:rPr>
        <w:t>万元主要用于办公费、印刷费、会议费、公务用车维护费、</w:t>
      </w:r>
      <w:r>
        <w:rPr>
          <w:rFonts w:hint="eastAsia" w:ascii="仿宋_GB2312" w:eastAsia="仿宋_GB2312"/>
          <w:sz w:val="32"/>
          <w:szCs w:val="32"/>
          <w:lang w:val="en-US" w:eastAsia="zh-CN"/>
        </w:rPr>
        <w:t>其他交通费用、</w:t>
      </w:r>
      <w:r>
        <w:rPr>
          <w:rFonts w:hint="eastAsia" w:ascii="仿宋_GB2312" w:eastAsia="仿宋_GB2312"/>
          <w:sz w:val="32"/>
          <w:szCs w:val="32"/>
        </w:rPr>
        <w:t>差旅费、公务接待费、劳务费等；</w:t>
      </w:r>
      <w:r>
        <w:rPr>
          <w:rFonts w:hint="eastAsia" w:ascii="仿宋" w:hAnsi="仿宋" w:eastAsia="仿宋"/>
          <w:sz w:val="32"/>
          <w:highlight w:val="white"/>
        </w:rPr>
        <w:t>项目支出</w:t>
      </w:r>
      <w:r>
        <w:rPr>
          <w:rFonts w:hint="eastAsia" w:ascii="仿宋" w:hAnsi="仿宋" w:eastAsia="仿宋"/>
          <w:sz w:val="32"/>
          <w:highlight w:val="white"/>
          <w:lang w:val="en-US" w:eastAsia="zh-CN"/>
        </w:rPr>
        <w:t>961.21</w:t>
      </w:r>
      <w:r>
        <w:rPr>
          <w:rFonts w:hint="eastAsia" w:ascii="仿宋" w:hAnsi="仿宋" w:eastAsia="仿宋"/>
          <w:sz w:val="32"/>
          <w:highlight w:val="white"/>
        </w:rPr>
        <w:t>万元，占总支出</w:t>
      </w:r>
      <w:r>
        <w:rPr>
          <w:rFonts w:hint="eastAsia" w:ascii="仿宋" w:hAnsi="仿宋" w:eastAsia="仿宋"/>
          <w:sz w:val="32"/>
          <w:highlight w:val="white"/>
          <w:lang w:val="en-US" w:eastAsia="zh-CN"/>
        </w:rPr>
        <w:t>56.48</w:t>
      </w:r>
      <w:r>
        <w:rPr>
          <w:rFonts w:hint="eastAsia" w:ascii="仿宋" w:hAnsi="仿宋" w:eastAsia="仿宋"/>
          <w:sz w:val="32"/>
          <w:highlight w:val="white"/>
        </w:rPr>
        <w:t>%，</w:t>
      </w:r>
      <w:r>
        <w:rPr>
          <w:rFonts w:hint="eastAsia" w:ascii="仿宋_GB2312" w:eastAsia="仿宋_GB2312"/>
          <w:sz w:val="32"/>
          <w:szCs w:val="32"/>
        </w:rPr>
        <w:t>主要为基础</w:t>
      </w:r>
      <w:r>
        <w:rPr>
          <w:rFonts w:hint="eastAsia" w:ascii="仿宋_GB2312" w:eastAsia="仿宋_GB2312"/>
          <w:sz w:val="32"/>
          <w:szCs w:val="32"/>
          <w:lang w:val="en-US" w:eastAsia="zh-CN"/>
        </w:rPr>
        <w:t>设施</w:t>
      </w:r>
      <w:r>
        <w:rPr>
          <w:rFonts w:hint="eastAsia" w:ascii="仿宋_GB2312" w:eastAsia="仿宋_GB2312"/>
          <w:sz w:val="32"/>
          <w:szCs w:val="32"/>
        </w:rPr>
        <w:t>建设资金、城乡治理资金、乡村振兴资金、烟叶生产发展资金、转移支付资金。</w:t>
      </w:r>
    </w:p>
    <w:p>
      <w:pPr>
        <w:ind w:firstLine="640" w:firstLineChars="200"/>
        <w:rPr>
          <w:rFonts w:ascii="仿宋" w:hAnsi="仿宋" w:eastAsia="仿宋"/>
          <w:sz w:val="32"/>
        </w:rPr>
      </w:pPr>
      <w:r>
        <w:rPr>
          <w:rFonts w:hint="eastAsia" w:ascii="仿宋" w:hAnsi="仿宋" w:eastAsia="仿宋"/>
          <w:sz w:val="32"/>
          <w:highlight w:val="white"/>
        </w:rPr>
        <w:t>按支出经济分类分其中：工资福利支出</w:t>
      </w:r>
      <w:r>
        <w:rPr>
          <w:rFonts w:hint="eastAsia" w:ascii="仿宋" w:hAnsi="仿宋" w:eastAsia="仿宋"/>
          <w:sz w:val="32"/>
          <w:highlight w:val="white"/>
          <w:lang w:val="en-US" w:eastAsia="zh-CN"/>
        </w:rPr>
        <w:t>653.82</w:t>
      </w:r>
      <w:r>
        <w:rPr>
          <w:rFonts w:hint="eastAsia" w:ascii="仿宋" w:hAnsi="仿宋" w:eastAsia="仿宋"/>
          <w:sz w:val="32"/>
          <w:highlight w:val="white"/>
          <w:lang w:val="zh-CN"/>
        </w:rPr>
        <w:t>万元，</w:t>
      </w:r>
      <w:r>
        <w:rPr>
          <w:rFonts w:hint="eastAsia" w:ascii="仿宋" w:hAnsi="仿宋" w:eastAsia="仿宋"/>
          <w:sz w:val="32"/>
          <w:highlight w:val="white"/>
        </w:rPr>
        <w:t>占</w:t>
      </w:r>
      <w:r>
        <w:rPr>
          <w:rFonts w:hint="eastAsia" w:ascii="仿宋" w:hAnsi="仿宋" w:eastAsia="仿宋"/>
          <w:sz w:val="32"/>
          <w:highlight w:val="white"/>
          <w:lang w:val="en-US" w:eastAsia="zh-CN"/>
        </w:rPr>
        <w:t>38.42</w:t>
      </w:r>
      <w:r>
        <w:rPr>
          <w:rFonts w:hint="eastAsia" w:ascii="仿宋" w:hAnsi="仿宋" w:eastAsia="仿宋"/>
          <w:sz w:val="32"/>
          <w:highlight w:val="white"/>
        </w:rPr>
        <w:t>%；商品和服务支出</w:t>
      </w:r>
      <w:r>
        <w:rPr>
          <w:rFonts w:hint="eastAsia" w:ascii="仿宋" w:hAnsi="仿宋" w:eastAsia="仿宋"/>
          <w:sz w:val="32"/>
          <w:highlight w:val="white"/>
          <w:lang w:val="en-US" w:eastAsia="zh-CN"/>
        </w:rPr>
        <w:t>356.03</w:t>
      </w:r>
      <w:r>
        <w:rPr>
          <w:rFonts w:hint="eastAsia" w:ascii="仿宋" w:hAnsi="仿宋" w:eastAsia="仿宋"/>
          <w:sz w:val="32"/>
          <w:highlight w:val="white"/>
        </w:rPr>
        <w:t>万元，占</w:t>
      </w:r>
      <w:r>
        <w:rPr>
          <w:rFonts w:hint="eastAsia" w:ascii="仿宋" w:hAnsi="仿宋" w:eastAsia="仿宋"/>
          <w:sz w:val="32"/>
          <w:highlight w:val="white"/>
          <w:lang w:val="en-US" w:eastAsia="zh-CN"/>
        </w:rPr>
        <w:t>20.92</w:t>
      </w:r>
      <w:r>
        <w:rPr>
          <w:rFonts w:hint="eastAsia" w:ascii="仿宋" w:hAnsi="仿宋" w:eastAsia="仿宋"/>
          <w:sz w:val="32"/>
          <w:highlight w:val="white"/>
        </w:rPr>
        <w:t>%；对个人和家庭的补助</w:t>
      </w:r>
      <w:r>
        <w:rPr>
          <w:rFonts w:hint="eastAsia" w:ascii="仿宋" w:hAnsi="仿宋" w:eastAsia="仿宋"/>
          <w:sz w:val="32"/>
          <w:highlight w:val="white"/>
          <w:lang w:val="en-US" w:eastAsia="zh-CN"/>
        </w:rPr>
        <w:t>261.92</w:t>
      </w:r>
      <w:r>
        <w:rPr>
          <w:rFonts w:hint="eastAsia" w:ascii="仿宋" w:hAnsi="仿宋" w:eastAsia="仿宋"/>
          <w:sz w:val="32"/>
          <w:highlight w:val="white"/>
        </w:rPr>
        <w:t>万元，占</w:t>
      </w:r>
      <w:r>
        <w:rPr>
          <w:rFonts w:hint="eastAsia" w:ascii="仿宋" w:hAnsi="仿宋" w:eastAsia="仿宋"/>
          <w:sz w:val="32"/>
          <w:highlight w:val="white"/>
          <w:lang w:val="en-US" w:eastAsia="zh-CN"/>
        </w:rPr>
        <w:t>15.39</w:t>
      </w:r>
      <w:r>
        <w:rPr>
          <w:rFonts w:hint="eastAsia" w:ascii="仿宋" w:hAnsi="仿宋" w:eastAsia="仿宋"/>
          <w:sz w:val="32"/>
          <w:highlight w:val="white"/>
        </w:rPr>
        <w:t>%；资本性支出</w:t>
      </w:r>
      <w:r>
        <w:rPr>
          <w:rFonts w:hint="eastAsia" w:ascii="仿宋" w:hAnsi="仿宋" w:eastAsia="仿宋"/>
          <w:sz w:val="32"/>
          <w:highlight w:val="white"/>
          <w:lang w:val="en-US" w:eastAsia="zh-CN"/>
        </w:rPr>
        <w:t>429.96</w:t>
      </w:r>
      <w:r>
        <w:rPr>
          <w:rFonts w:hint="eastAsia" w:ascii="仿宋" w:hAnsi="仿宋" w:eastAsia="仿宋"/>
          <w:sz w:val="32"/>
          <w:highlight w:val="white"/>
        </w:rPr>
        <w:t>万元，占</w:t>
      </w:r>
      <w:r>
        <w:rPr>
          <w:rFonts w:hint="eastAsia" w:ascii="仿宋" w:hAnsi="仿宋" w:eastAsia="仿宋"/>
          <w:sz w:val="32"/>
          <w:highlight w:val="white"/>
          <w:lang w:val="en-US" w:eastAsia="zh-CN"/>
        </w:rPr>
        <w:t>25.27</w:t>
      </w:r>
      <w:r>
        <w:rPr>
          <w:rFonts w:hint="eastAsia" w:ascii="仿宋" w:hAnsi="仿宋" w:eastAsia="仿宋"/>
          <w:sz w:val="32"/>
          <w:highlight w:val="white"/>
        </w:rPr>
        <w:t>%。</w:t>
      </w:r>
    </w:p>
    <w:p>
      <w:pPr>
        <w:ind w:firstLine="630" w:firstLineChars="196"/>
        <w:rPr>
          <w:rFonts w:ascii="仿宋" w:hAnsi="仿宋" w:eastAsia="仿宋"/>
          <w:sz w:val="32"/>
          <w:highlight w:val="white"/>
        </w:rPr>
      </w:pPr>
      <w:r>
        <w:rPr>
          <w:rFonts w:hint="eastAsia" w:ascii="仿宋_GB2312" w:eastAsia="仿宋_GB2312"/>
          <w:b/>
          <w:bCs/>
          <w:sz w:val="32"/>
          <w:szCs w:val="32"/>
        </w:rPr>
        <w:t>三公经费支出情况：</w:t>
      </w:r>
      <w:r>
        <w:rPr>
          <w:rFonts w:hint="eastAsia" w:ascii="仿宋" w:hAnsi="仿宋" w:eastAsia="仿宋"/>
          <w:sz w:val="32"/>
          <w:highlight w:val="white"/>
        </w:rPr>
        <w:t>全年预算19.4万元，本年实际支出19.</w:t>
      </w:r>
      <w:r>
        <w:rPr>
          <w:rFonts w:hint="eastAsia" w:ascii="仿宋" w:hAnsi="仿宋" w:eastAsia="仿宋"/>
          <w:sz w:val="32"/>
          <w:highlight w:val="white"/>
          <w:lang w:val="en-US" w:eastAsia="zh-CN"/>
        </w:rPr>
        <w:t>4</w:t>
      </w:r>
      <w:r>
        <w:rPr>
          <w:rFonts w:hint="eastAsia" w:ascii="仿宋" w:hAnsi="仿宋" w:eastAsia="仿宋"/>
          <w:sz w:val="32"/>
          <w:highlight w:val="white"/>
        </w:rPr>
        <w:t>万元，完成预算的</w:t>
      </w:r>
      <w:r>
        <w:rPr>
          <w:rFonts w:hint="eastAsia" w:ascii="仿宋" w:hAnsi="仿宋" w:eastAsia="仿宋"/>
          <w:sz w:val="32"/>
          <w:highlight w:val="white"/>
          <w:lang w:val="en-US" w:eastAsia="zh-CN"/>
        </w:rPr>
        <w:t>100</w:t>
      </w:r>
      <w:r>
        <w:rPr>
          <w:rFonts w:hint="eastAsia" w:ascii="仿宋" w:hAnsi="仿宋" w:eastAsia="仿宋"/>
          <w:sz w:val="32"/>
          <w:highlight w:val="white"/>
        </w:rPr>
        <w:t>%，其中：公务接待费17万元，公务用车运行维护费支出</w:t>
      </w:r>
      <w:r>
        <w:rPr>
          <w:rFonts w:hint="eastAsia" w:ascii="仿宋" w:hAnsi="仿宋" w:eastAsia="仿宋"/>
          <w:sz w:val="32"/>
          <w:highlight w:val="white"/>
          <w:lang w:val="en-US" w:eastAsia="zh-CN"/>
        </w:rPr>
        <w:t>2.4</w:t>
      </w:r>
      <w:r>
        <w:rPr>
          <w:rFonts w:hint="eastAsia" w:ascii="仿宋" w:hAnsi="仿宋" w:eastAsia="仿宋"/>
          <w:sz w:val="32"/>
          <w:highlight w:val="white"/>
        </w:rPr>
        <w:t>万元。</w:t>
      </w:r>
    </w:p>
    <w:p>
      <w:pPr>
        <w:ind w:firstLine="640" w:firstLineChars="200"/>
        <w:rPr>
          <w:rFonts w:ascii="黑体" w:hAnsi="黑体" w:eastAsia="黑体" w:cs="黑体"/>
          <w:sz w:val="32"/>
          <w:szCs w:val="32"/>
        </w:rPr>
      </w:pPr>
      <w:r>
        <w:rPr>
          <w:rFonts w:hint="eastAsia" w:ascii="黑体" w:hAnsi="黑体" w:eastAsia="黑体" w:cs="黑体"/>
          <w:sz w:val="32"/>
          <w:szCs w:val="32"/>
        </w:rPr>
        <w:t>三、部门专项组织实施情况</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（一）专项组织情况分析。</w:t>
      </w:r>
    </w:p>
    <w:p>
      <w:pPr>
        <w:ind w:firstLine="627" w:firstLineChars="196"/>
        <w:rPr>
          <w:rFonts w:ascii="仿宋" w:hAnsi="仿宋" w:eastAsia="仿宋"/>
          <w:sz w:val="32"/>
          <w:highlight w:val="white"/>
        </w:rPr>
      </w:pPr>
      <w:r>
        <w:rPr>
          <w:rFonts w:hint="eastAsia" w:ascii="仿宋" w:hAnsi="仿宋" w:eastAsia="仿宋"/>
          <w:sz w:val="32"/>
          <w:highlight w:val="white"/>
        </w:rPr>
        <w:t>1、严格管理项目申报流程，对所申报项目开展论证，从中选优立项。</w:t>
      </w:r>
    </w:p>
    <w:p>
      <w:pPr>
        <w:ind w:firstLine="627" w:firstLineChars="196"/>
        <w:rPr>
          <w:rFonts w:ascii="Times New Roman" w:hAnsi="Times New Roman" w:eastAsia="仿宋_GB2312" w:cs="Times New Roman"/>
          <w:sz w:val="32"/>
          <w:szCs w:val="32"/>
        </w:rPr>
      </w:pPr>
      <w:r>
        <w:rPr>
          <w:rFonts w:hint="eastAsia" w:ascii="仿宋" w:hAnsi="仿宋" w:eastAsia="仿宋"/>
          <w:sz w:val="32"/>
          <w:highlight w:val="white"/>
        </w:rPr>
        <w:t>2、制定了项目总体实施方案，并指导各项目依据总体实施方案和项目批复文件的要求，落实各个项目的具体实施过程，并明确责任主体，使项目管理进一步规范</w:t>
      </w:r>
      <w:r>
        <w:rPr>
          <w:rFonts w:ascii="Times New Roman" w:hAnsi="Times New Roman" w:eastAsia="仿宋_GB2312" w:cs="Times New Roman"/>
          <w:sz w:val="32"/>
          <w:szCs w:val="32"/>
        </w:rPr>
        <w:t>。</w:t>
      </w:r>
    </w:p>
    <w:p>
      <w:pPr>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（二）专项管理情况分析</w:t>
      </w:r>
    </w:p>
    <w:p>
      <w:pPr>
        <w:ind w:firstLine="627" w:firstLineChars="196"/>
        <w:rPr>
          <w:rFonts w:ascii="仿宋" w:hAnsi="仿宋" w:eastAsia="仿宋"/>
          <w:sz w:val="32"/>
          <w:highlight w:val="white"/>
        </w:rPr>
      </w:pPr>
      <w:r>
        <w:rPr>
          <w:rFonts w:hint="eastAsia" w:ascii="仿宋" w:hAnsi="仿宋" w:eastAsia="仿宋"/>
          <w:sz w:val="32"/>
          <w:highlight w:val="white"/>
        </w:rPr>
        <w:t>1、加强项目管理，实行项目库管理，对项目实施全程进行监督管理，尤其在项目实施关键环节中，组织项目管理相关部门对项目实施情况进行抽查督查。</w:t>
      </w:r>
    </w:p>
    <w:p>
      <w:pPr>
        <w:ind w:firstLine="640" w:firstLineChars="200"/>
        <w:rPr>
          <w:rFonts w:ascii="黑体" w:hAnsi="黑体" w:eastAsia="黑体" w:cs="黑体"/>
          <w:sz w:val="32"/>
          <w:szCs w:val="32"/>
        </w:rPr>
      </w:pPr>
      <w:r>
        <w:rPr>
          <w:rFonts w:hint="eastAsia" w:ascii="黑体" w:hAnsi="黑体" w:eastAsia="黑体" w:cs="黑体"/>
          <w:sz w:val="32"/>
          <w:szCs w:val="32"/>
        </w:rPr>
        <w:t>四、资产管理情况</w:t>
      </w:r>
    </w:p>
    <w:p>
      <w:pPr>
        <w:pStyle w:val="6"/>
        <w:tabs>
          <w:tab w:val="left" w:pos="668"/>
        </w:tabs>
        <w:spacing w:before="0" w:beforeAutospacing="0" w:after="0" w:afterAutospacing="0"/>
        <w:ind w:firstLine="640" w:firstLineChars="200"/>
        <w:rPr>
          <w:rFonts w:ascii="Times New Roman" w:hAnsi="Times New Roman" w:eastAsia="仿宋_GB2312" w:cs="Times New Roman"/>
          <w:kern w:val="2"/>
          <w:sz w:val="32"/>
          <w:szCs w:val="32"/>
        </w:rPr>
      </w:pPr>
      <w:r>
        <w:rPr>
          <w:rFonts w:hint="eastAsia" w:ascii="仿宋" w:hAnsi="仿宋" w:eastAsia="仿宋" w:cstheme="minorBidi"/>
          <w:kern w:val="2"/>
          <w:sz w:val="32"/>
          <w:highlight w:val="white"/>
        </w:rPr>
        <w:t>为规范和加强固定资产管理，庙前镇建立健全了资产管理制度，依法对资产的购置、使用和处置等实施全过程管理。使用财政资金购置资产，按资产配置的标准和要求，实行政府采购，及时进行账务处理，并定期清理，做到账实相符。</w:t>
      </w:r>
    </w:p>
    <w:p>
      <w:pPr>
        <w:ind w:firstLine="640" w:firstLineChars="200"/>
        <w:rPr>
          <w:rFonts w:ascii="黑体" w:hAnsi="黑体" w:eastAsia="黑体" w:cs="黑体"/>
          <w:sz w:val="32"/>
          <w:szCs w:val="32"/>
        </w:rPr>
      </w:pPr>
      <w:r>
        <w:rPr>
          <w:rFonts w:hint="eastAsia" w:ascii="黑体" w:hAnsi="黑体" w:eastAsia="黑体" w:cs="黑体"/>
          <w:sz w:val="32"/>
          <w:szCs w:val="32"/>
        </w:rPr>
        <w:t>五、部门整体支出绩效情况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 w:hAnsi="楷体" w:eastAsia="仿宋" w:cs="楷体"/>
          <w:i w:val="0"/>
          <w:iCs w:val="0"/>
          <w:caps w:val="0"/>
          <w:color w:val="000000" w:themeColor="text1"/>
          <w:spacing w:val="0"/>
          <w:sz w:val="32"/>
          <w:szCs w:val="32"/>
          <w:shd w:val="clear" w:fill="FFFFFF"/>
          <w:lang w:val="en-US" w:eastAsia="zh-CN"/>
        </w:rPr>
      </w:pPr>
      <w:r>
        <w:rPr>
          <w:rFonts w:hint="eastAsia" w:ascii="仿宋" w:hAnsi="仿宋" w:eastAsia="仿宋" w:cs="仿宋"/>
          <w:i w:val="0"/>
          <w:iCs w:val="0"/>
          <w:caps w:val="0"/>
          <w:color w:val="000000" w:themeColor="text1"/>
          <w:spacing w:val="0"/>
          <w:sz w:val="32"/>
          <w:szCs w:val="32"/>
          <w:shd w:val="clear" w:fill="FFFFFF"/>
          <w:lang w:eastAsia="zh-CN"/>
        </w:rPr>
        <w:t>庙前</w:t>
      </w:r>
      <w:r>
        <w:rPr>
          <w:rFonts w:hint="eastAsia" w:ascii="仿宋" w:hAnsi="仿宋" w:eastAsia="仿宋" w:cstheme="minorBidi"/>
          <w:kern w:val="2"/>
          <w:sz w:val="32"/>
          <w:szCs w:val="24"/>
          <w:highlight w:val="white"/>
          <w:lang w:val="en-US" w:eastAsia="zh-CN" w:bidi="ar-SA"/>
        </w:rPr>
        <w:t>镇人民政府在市委、市人民政府和镇党委的坚强领导及上级各部门的</w:t>
      </w:r>
      <w:r>
        <w:rPr>
          <w:rFonts w:hint="eastAsia" w:ascii="仿宋" w:hAnsi="仿宋" w:eastAsia="仿宋" w:cs="仿宋"/>
          <w:i w:val="0"/>
          <w:iCs w:val="0"/>
          <w:caps w:val="0"/>
          <w:color w:val="000000" w:themeColor="text1"/>
          <w:spacing w:val="0"/>
          <w:sz w:val="32"/>
          <w:szCs w:val="32"/>
          <w:shd w:val="clear" w:fill="FFFFFF"/>
        </w:rPr>
        <w:t>大力支持下，以习近平新时代中国特色社会主义思想为指导，深入贯彻落实党的二十大精神，扎实开展学习贯彻习近平新时代中国特色社会主义思想主题教育，深入学习习近平总书记考察</w:t>
      </w:r>
      <w:r>
        <w:rPr>
          <w:rFonts w:hint="eastAsia" w:ascii="仿宋" w:hAnsi="仿宋" w:eastAsia="仿宋" w:cs="仿宋"/>
          <w:i w:val="0"/>
          <w:iCs w:val="0"/>
          <w:caps w:val="0"/>
          <w:color w:val="000000" w:themeColor="text1"/>
          <w:spacing w:val="0"/>
          <w:sz w:val="32"/>
          <w:szCs w:val="32"/>
          <w:shd w:val="clear" w:fill="FFFFFF"/>
          <w:lang w:eastAsia="zh-CN"/>
        </w:rPr>
        <w:t>湖南</w:t>
      </w:r>
      <w:r>
        <w:rPr>
          <w:rFonts w:hint="eastAsia" w:ascii="仿宋" w:hAnsi="仿宋" w:eastAsia="仿宋" w:cs="仿宋"/>
          <w:i w:val="0"/>
          <w:iCs w:val="0"/>
          <w:caps w:val="0"/>
          <w:color w:val="000000" w:themeColor="text1"/>
          <w:spacing w:val="0"/>
          <w:sz w:val="32"/>
          <w:szCs w:val="32"/>
          <w:shd w:val="clear" w:fill="FFFFFF"/>
        </w:rPr>
        <w:t>重要讲话精神，聚焦“</w:t>
      </w:r>
      <w:r>
        <w:rPr>
          <w:rFonts w:hint="eastAsia" w:ascii="仿宋" w:hAnsi="仿宋" w:eastAsia="仿宋" w:cs="仿宋"/>
          <w:i w:val="0"/>
          <w:iCs w:val="0"/>
          <w:caps w:val="0"/>
          <w:color w:val="000000" w:themeColor="text1"/>
          <w:spacing w:val="0"/>
          <w:sz w:val="32"/>
          <w:szCs w:val="32"/>
          <w:shd w:val="clear" w:fill="FFFFFF"/>
          <w:lang w:eastAsia="zh-CN"/>
        </w:rPr>
        <w:t>谱写新时代中国特色社会主义湖南新篇章</w:t>
      </w:r>
      <w:r>
        <w:rPr>
          <w:rFonts w:hint="eastAsia" w:ascii="仿宋" w:hAnsi="仿宋" w:eastAsia="仿宋" w:cs="仿宋"/>
          <w:i w:val="0"/>
          <w:iCs w:val="0"/>
          <w:caps w:val="0"/>
          <w:color w:val="000000" w:themeColor="text1"/>
          <w:spacing w:val="0"/>
          <w:sz w:val="32"/>
          <w:szCs w:val="32"/>
          <w:shd w:val="clear" w:fill="FFFFFF"/>
        </w:rPr>
        <w:t>”的目标要求，</w:t>
      </w:r>
      <w:r>
        <w:rPr>
          <w:rFonts w:hint="eastAsia" w:ascii="仿宋" w:hAnsi="仿宋" w:eastAsia="仿宋" w:cs="仿宋"/>
          <w:i w:val="0"/>
          <w:iCs w:val="0"/>
          <w:caps w:val="0"/>
          <w:color w:val="000000" w:themeColor="text1"/>
          <w:spacing w:val="0"/>
          <w:sz w:val="32"/>
          <w:szCs w:val="32"/>
          <w:shd w:val="clear" w:fill="FFFFFF"/>
          <w:lang w:val="en-US" w:eastAsia="zh-CN"/>
        </w:rPr>
        <w:t>坚持稳中求进工作总基调，坚持“工业领航、绿色崛起、城乡协调、民生共享”，凝心聚力，全面落实“三高四新”战略定位和使命任务，</w:t>
      </w:r>
      <w:r>
        <w:rPr>
          <w:rFonts w:hint="eastAsia" w:ascii="仿宋" w:hAnsi="仿宋" w:eastAsia="仿宋" w:cs="仿宋"/>
          <w:i w:val="0"/>
          <w:iCs w:val="0"/>
          <w:caps w:val="0"/>
          <w:color w:val="000000" w:themeColor="text1"/>
          <w:spacing w:val="0"/>
          <w:sz w:val="32"/>
          <w:szCs w:val="32"/>
          <w:shd w:val="clear" w:fill="FFFFFF"/>
        </w:rPr>
        <w:t>科学统筹镇域经济社会发展</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全镇经济社会取得显著成效</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lang w:val="en-US" w:eastAsia="zh-CN"/>
        </w:rPr>
        <w:t>自评得分97.2分。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left"/>
        <w:textAlignment w:val="auto"/>
        <w:rPr>
          <w:rFonts w:hint="eastAsia" w:ascii="楷体" w:hAnsi="楷体" w:eastAsia="楷体" w:cs="楷体"/>
          <w:i w:val="0"/>
          <w:iCs w:val="0"/>
          <w:caps w:val="0"/>
          <w:color w:val="000000" w:themeColor="text1"/>
          <w:spacing w:val="0"/>
          <w:sz w:val="32"/>
          <w:szCs w:val="32"/>
          <w:shd w:val="clear" w:fill="FFFFFF"/>
          <w:lang w:val="en-US" w:eastAsia="zh-CN"/>
        </w:rPr>
      </w:pPr>
      <w:r>
        <w:rPr>
          <w:rFonts w:hint="eastAsia" w:ascii="楷体" w:hAnsi="楷体" w:eastAsia="楷体" w:cs="楷体"/>
          <w:i w:val="0"/>
          <w:iCs w:val="0"/>
          <w:caps w:val="0"/>
          <w:color w:val="000000" w:themeColor="text1"/>
          <w:spacing w:val="0"/>
          <w:sz w:val="32"/>
          <w:szCs w:val="32"/>
          <w:shd w:val="clear" w:fill="FFFFFF"/>
          <w:lang w:val="en-US" w:eastAsia="zh-CN"/>
        </w:rPr>
        <w:t>特色产业有力培植，发展基础持续夯实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i w:val="0"/>
          <w:iCs w:val="0"/>
          <w:caps w:val="0"/>
          <w:color w:val="000000" w:themeColor="text1"/>
          <w:spacing w:val="0"/>
          <w:sz w:val="32"/>
          <w:szCs w:val="32"/>
          <w:shd w:val="clear" w:fill="FFFFFF"/>
          <w:lang w:val="en-US" w:eastAsia="zh-CN"/>
        </w:rPr>
      </w:pPr>
      <w:r>
        <w:rPr>
          <w:rFonts w:hint="eastAsia" w:ascii="仿宋" w:hAnsi="仿宋" w:eastAsia="仿宋" w:cs="仿宋"/>
          <w:b/>
          <w:bCs/>
          <w:i w:val="0"/>
          <w:iCs w:val="0"/>
          <w:caps w:val="0"/>
          <w:color w:val="000000" w:themeColor="text1"/>
          <w:spacing w:val="0"/>
          <w:sz w:val="32"/>
          <w:szCs w:val="32"/>
          <w:shd w:val="clear" w:fill="FFFFFF"/>
          <w:lang w:val="en-US" w:eastAsia="zh-CN"/>
        </w:rPr>
        <w:t>1.特色产业实现“新突破”。</w:t>
      </w:r>
      <w:r>
        <w:rPr>
          <w:rFonts w:hint="eastAsia" w:ascii="仿宋" w:hAnsi="仿宋" w:eastAsia="仿宋" w:cs="仿宋"/>
          <w:i w:val="0"/>
          <w:iCs w:val="0"/>
          <w:caps w:val="0"/>
          <w:color w:val="000000" w:themeColor="text1"/>
          <w:spacing w:val="0"/>
          <w:sz w:val="32"/>
          <w:szCs w:val="32"/>
          <w:shd w:val="clear" w:fill="FFFFFF"/>
          <w:lang w:val="en-US" w:eastAsia="zh-CN"/>
        </w:rPr>
        <w:t>泉井村雪茄烟基地作为全省五个试种基地之一，连续三年试种全部获得成功，今年种植46亩，省烟草公司明年将全面推广；双凤村、中田村种植湘莲500亩，年产带壳莲子10万斤，实现产值50万元。全镇的药材种植面积达到850亩，70%由大户承包种植，主要以种植玉竹为主，黄精种植100亩，枳壳100多亩；双凤村、泉井村、双桥村、弥泉村、春和村等8个村共种植烤烟1700亩，烤烟房110间，年产烤烟4540担，年产值达850万元。石铺村阳光玫瑰葡萄、西湖村猕猴桃产业蓬勃发展。大豆、玉米套种300亩。春和村千头现代化养猪场建成使用。全镇范围内的春和村冬兵饰品加工厂、枫树烟叶种植合作社、诚君专业合作社、杨李药材加工合作社、净水设备加工厂、泉井种养合作社6个乡村车间有序运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i w:val="0"/>
          <w:iCs w:val="0"/>
          <w:caps w:val="0"/>
          <w:color w:val="000000" w:themeColor="text1"/>
          <w:spacing w:val="0"/>
          <w:sz w:val="32"/>
          <w:szCs w:val="32"/>
          <w:shd w:val="clear" w:fill="FFFFFF"/>
          <w:lang w:val="en-US" w:eastAsia="zh-CN"/>
        </w:rPr>
      </w:pPr>
      <w:r>
        <w:rPr>
          <w:rFonts w:hint="eastAsia" w:ascii="仿宋" w:hAnsi="仿宋" w:eastAsia="仿宋" w:cs="仿宋"/>
          <w:b/>
          <w:bCs/>
          <w:i w:val="0"/>
          <w:iCs w:val="0"/>
          <w:caps w:val="0"/>
          <w:color w:val="000000" w:themeColor="text1"/>
          <w:spacing w:val="0"/>
          <w:sz w:val="32"/>
          <w:szCs w:val="32"/>
          <w:shd w:val="clear" w:fill="FFFFFF"/>
          <w:lang w:val="en-US" w:eastAsia="zh-CN"/>
        </w:rPr>
        <w:t>2.农业生产发展成效显著。</w:t>
      </w:r>
      <w:r>
        <w:rPr>
          <w:rFonts w:hint="eastAsia" w:ascii="仿宋" w:hAnsi="仿宋" w:eastAsia="仿宋" w:cs="仿宋"/>
          <w:i w:val="0"/>
          <w:iCs w:val="0"/>
          <w:caps w:val="0"/>
          <w:color w:val="000000" w:themeColor="text1"/>
          <w:spacing w:val="0"/>
          <w:sz w:val="32"/>
          <w:szCs w:val="32"/>
          <w:shd w:val="clear" w:fill="FFFFFF"/>
          <w:lang w:val="en-US" w:eastAsia="zh-CN"/>
        </w:rPr>
        <w:t>狠抓粮食安全，有效保障粮食生产稳定和市场供应，全镇耕地面积17000余亩，基本农田14400余亩。全镇水稻种植面积15000余亩，其中双季早稻3900余亩，一季稻（含一季晚稻）7300余亩，双季晚稻2000余亩。种植油菜6000亩。标准化温室育秧大棚1个已投入生产,基本农田除铬超标严控区外，其余的全部种植水稻或旱粮作物，石铺村、长春村、中田村牛蛙养殖场全部退出，杜绝耕地“非粮化”、“非农化”，禁止耕地抛荒，全面稳定粮食生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GB2312" w:hAnsi="仿宋GB2312" w:eastAsia="仿宋GB2312" w:cs="仿宋GB2312"/>
          <w:kern w:val="2"/>
          <w:sz w:val="32"/>
          <w:szCs w:val="32"/>
          <w:lang w:val="en-US" w:eastAsia="zh-CN" w:bidi="ar-SA"/>
        </w:rPr>
      </w:pPr>
      <w:r>
        <w:rPr>
          <w:rFonts w:hint="eastAsia" w:ascii="仿宋" w:hAnsi="仿宋" w:eastAsia="仿宋" w:cs="仿宋"/>
          <w:b/>
          <w:bCs/>
          <w:i w:val="0"/>
          <w:iCs w:val="0"/>
          <w:caps w:val="0"/>
          <w:color w:val="000000" w:themeColor="text1"/>
          <w:spacing w:val="0"/>
          <w:sz w:val="32"/>
          <w:szCs w:val="32"/>
          <w:shd w:val="clear" w:fill="FFFFFF"/>
          <w:lang w:val="en-US" w:eastAsia="zh-CN"/>
        </w:rPr>
        <w:t>3.不断壮大村集体经济。</w:t>
      </w:r>
      <w:r>
        <w:rPr>
          <w:rFonts w:hint="eastAsia" w:ascii="仿宋" w:hAnsi="仿宋" w:eastAsia="仿宋" w:cs="仿宋"/>
          <w:i w:val="0"/>
          <w:iCs w:val="0"/>
          <w:caps w:val="0"/>
          <w:color w:val="000000" w:themeColor="text1"/>
          <w:spacing w:val="0"/>
          <w:sz w:val="32"/>
          <w:szCs w:val="32"/>
          <w:shd w:val="clear" w:fill="FFFFFF"/>
          <w:lang w:val="en-US" w:eastAsia="zh-CN"/>
        </w:rPr>
        <w:t>金龙、西湖、春和三支驻村工作队为发展产业，今年共计争取到59万元帮扶资金。金龙村依托4A级旅游景点印山，大力宣传和发展研学产业，为村集体可支配收入增值。开发养殖业。春和村一方面盘活荒地资产，通过土地流转增加集体收入，另一方面积极发展养殖业，除“双胞胎”集团洽谈的2400头异地生猪养殖项目，今年还新增鸭苗养殖产业，引进7500只鸭幼苗，年底预计可增收10万元。与黄牛养殖企业进行养殖洽谈协商，计划每年养殖黄牛1000头。</w:t>
      </w:r>
      <w:r>
        <w:rPr>
          <w:rFonts w:hint="eastAsia" w:ascii="仿宋GB2312" w:hAnsi="仿宋GB2312" w:eastAsia="仿宋GB2312" w:cs="仿宋GB2312"/>
          <w:kern w:val="2"/>
          <w:sz w:val="32"/>
          <w:szCs w:val="32"/>
          <w:lang w:val="en-US" w:eastAsia="zh-CN" w:bidi="ar-SA"/>
        </w:rPr>
        <w:t>西湖村一方面通过资金入股湖南瑶园生态农业科技发展有限公司，为村集体经济每年分红4万元，另一方面大力发展养鱼产业，今年共引进3500尾鱼苗，年底预计可增收6万元，此外筹备的养鸡场地基础设施已全部竣工，明年开春将引进一批幼鸡苗，为村集体收入开辟新项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left"/>
        <w:textAlignment w:val="auto"/>
        <w:rPr>
          <w:rFonts w:hint="eastAsia" w:ascii="楷体" w:hAnsi="楷体" w:eastAsia="楷体" w:cs="楷体"/>
          <w:i w:val="0"/>
          <w:iCs w:val="0"/>
          <w:caps w:val="0"/>
          <w:color w:val="000000" w:themeColor="text1"/>
          <w:spacing w:val="0"/>
          <w:sz w:val="32"/>
          <w:szCs w:val="32"/>
          <w:shd w:val="clear" w:fill="FFFFFF"/>
          <w:lang w:val="en-US" w:eastAsia="zh-CN"/>
        </w:rPr>
      </w:pPr>
      <w:r>
        <w:rPr>
          <w:rFonts w:hint="eastAsia" w:ascii="楷体" w:hAnsi="楷体" w:eastAsia="楷体" w:cs="楷体"/>
          <w:i w:val="0"/>
          <w:iCs w:val="0"/>
          <w:caps w:val="0"/>
          <w:color w:val="000000" w:themeColor="text1"/>
          <w:spacing w:val="0"/>
          <w:sz w:val="32"/>
          <w:szCs w:val="32"/>
          <w:shd w:val="clear" w:fill="FFFFFF"/>
          <w:lang w:val="en-US" w:eastAsia="zh-CN"/>
        </w:rPr>
        <w:t>生态环保大力推动，人居环境持续改善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GB2312" w:hAnsi="仿宋GB2312" w:eastAsia="仿宋GB2312" w:cs="仿宋GB2312"/>
          <w:kern w:val="2"/>
          <w:sz w:val="32"/>
          <w:szCs w:val="32"/>
          <w:lang w:val="en-US" w:eastAsia="zh-CN" w:bidi="ar-SA"/>
        </w:rPr>
      </w:pPr>
      <w:r>
        <w:rPr>
          <w:rFonts w:hint="eastAsia" w:ascii="仿宋GB2312" w:hAnsi="仿宋GB2312" w:eastAsia="仿宋GB2312" w:cs="仿宋GB2312"/>
          <w:b/>
          <w:bCs/>
          <w:kern w:val="2"/>
          <w:sz w:val="32"/>
          <w:szCs w:val="32"/>
          <w:lang w:val="en-US" w:eastAsia="zh-CN" w:bidi="ar-SA"/>
        </w:rPr>
        <w:t>1.持续改善人居环境。</w:t>
      </w:r>
      <w:r>
        <w:rPr>
          <w:rFonts w:hint="eastAsia" w:ascii="仿宋GB2312" w:hAnsi="仿宋GB2312" w:eastAsia="仿宋GB2312" w:cs="仿宋GB2312"/>
          <w:kern w:val="2"/>
          <w:sz w:val="32"/>
          <w:szCs w:val="32"/>
          <w:lang w:val="en-US" w:eastAsia="zh-CN" w:bidi="ar-SA"/>
        </w:rPr>
        <w:t>实行挂图作战，全镇113个村组湾场，制定《庙前镇农村人居环境网格化管理线路图》，明确各村47个保洁员与村干部保洁区域的划分，每个村(社区)设立卫生监督员，同联点领导干部一起抓整治。成立四个常态化督察组，每组负责3个村，对各村组湾场“不留死角”“不留盲区”进行全覆盖“整治任务”摸底拍照。各村(社区)严格按照“一拆二清三整四保”的工作程序，逐步推进。集中开展整治行动40余次，清理主次干道、社区、街头巷尾的“牛皮癣”千余条，清理卫生死角300余处，清运废弃垃圾200余吨，拆除违规广告标牌86块，拆除违规搭建31处。对全镇12个村(社区)、集贸市场、学校、医院、银行、景区等单位的公共场所开展除“四害”消杀工作，安装灭鼠饵料盒1500个，投放毒鼠药1200斤，蟑螂药680包，开展蚊子、苍蝇消杀工作60余次。巩固国家卫生乡镇创建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GB2312" w:hAnsi="仿宋GB2312" w:eastAsia="仿宋GB2312" w:cs="仿宋GB2312"/>
          <w:kern w:val="2"/>
          <w:sz w:val="32"/>
          <w:szCs w:val="32"/>
          <w:lang w:val="en-US" w:eastAsia="zh-CN" w:bidi="ar-SA"/>
        </w:rPr>
      </w:pPr>
      <w:r>
        <w:rPr>
          <w:rFonts w:hint="eastAsia" w:ascii="仿宋GB2312" w:hAnsi="仿宋GB2312" w:eastAsia="仿宋GB2312" w:cs="仿宋GB2312"/>
          <w:b/>
          <w:bCs/>
          <w:kern w:val="2"/>
          <w:sz w:val="32"/>
          <w:szCs w:val="32"/>
          <w:lang w:val="en-US" w:eastAsia="zh-CN" w:bidi="ar-SA"/>
        </w:rPr>
        <w:t>2.危旧空心房拆除工作有序推进。</w:t>
      </w:r>
      <w:r>
        <w:rPr>
          <w:rFonts w:hint="eastAsia" w:ascii="仿宋GB2312" w:hAnsi="仿宋GB2312" w:eastAsia="仿宋GB2312" w:cs="仿宋GB2312"/>
          <w:kern w:val="2"/>
          <w:sz w:val="32"/>
          <w:szCs w:val="32"/>
          <w:lang w:val="en-US" w:eastAsia="zh-CN" w:bidi="ar-SA"/>
        </w:rPr>
        <w:t>坚持以“五治”为中心，以“治房”为重点，按照“先拆后改”的原则，在全镇开展老旧危房的拆除和闲置房的改造工作，通过前期的动员部署、屋场恳谈会、存量的摸排、实地测量等工作，2024年全镇共计拆除危旧空心房99户，在清除“疤痕”的基础上，最大限度的修复了古韵庙前的“新容貌”，提升文旅乡镇的“新颜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sz w:val="32"/>
          <w:highlight w:val="white"/>
        </w:rPr>
      </w:pPr>
      <w:r>
        <w:rPr>
          <w:rFonts w:hint="eastAsia" w:ascii="仿宋GB2312" w:hAnsi="仿宋GB2312" w:eastAsia="仿宋GB2312" w:cs="仿宋GB2312"/>
          <w:b/>
          <w:bCs/>
          <w:kern w:val="2"/>
          <w:sz w:val="32"/>
          <w:szCs w:val="32"/>
          <w:lang w:val="en-US" w:eastAsia="zh-CN" w:bidi="ar-SA"/>
        </w:rPr>
        <w:t>3.“文旅+”发展局面加速形成。</w:t>
      </w:r>
      <w:r>
        <w:rPr>
          <w:rFonts w:hint="eastAsia" w:ascii="仿宋GB2312" w:hAnsi="仿宋GB2312" w:eastAsia="仿宋GB2312" w:cs="仿宋GB2312"/>
          <w:kern w:val="2"/>
          <w:sz w:val="32"/>
          <w:szCs w:val="32"/>
          <w:lang w:val="en-US" w:eastAsia="zh-CN" w:bidi="ar-SA"/>
        </w:rPr>
        <w:t>今年以来，庙前镇以大型活动为抓手，做活文旅新篇章，带动地方特色文化发展，为乡村振兴注入新动力。4月“2024年全国文化科技卫生‘三下乡’（湖南省）集中示范活动”文艺惠民演出，6月常宁市2024年人大代表“6·25”为民服务日主题活动“平安村社区建设助推文明城市创建及乡村振兴”，7月2024年湖南省（夏季）乡村文化旅游节暨2024年湖南省（夏季）村晚示范展示活动均在金龙村中国印山景区举行，庙前镇抓住湖南省旅发大会发展机遇，充分展示非遗、景区、美食、文化魅力，让群众及游客在“天下印山，古韵庙前”中不断提高获得感、幸福感和满意度，不断增强庙前的知名度、美誉度和影响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left"/>
        <w:textAlignment w:val="auto"/>
        <w:rPr>
          <w:rFonts w:hint="eastAsia" w:ascii="楷体" w:hAnsi="楷体" w:eastAsia="楷体" w:cs="楷体"/>
          <w:i w:val="0"/>
          <w:iCs w:val="0"/>
          <w:caps w:val="0"/>
          <w:color w:val="000000" w:themeColor="text1"/>
          <w:spacing w:val="0"/>
          <w:sz w:val="32"/>
          <w:szCs w:val="32"/>
          <w:shd w:val="clear" w:fill="FFFFFF"/>
          <w:lang w:val="en-US" w:eastAsia="zh-CN"/>
        </w:rPr>
      </w:pPr>
      <w:r>
        <w:rPr>
          <w:rFonts w:hint="eastAsia" w:ascii="楷体" w:hAnsi="楷体" w:eastAsia="楷体" w:cs="楷体"/>
          <w:i w:val="0"/>
          <w:iCs w:val="0"/>
          <w:caps w:val="0"/>
          <w:color w:val="000000" w:themeColor="text1"/>
          <w:spacing w:val="0"/>
          <w:sz w:val="32"/>
          <w:szCs w:val="32"/>
          <w:shd w:val="clear" w:fill="FFFFFF"/>
          <w:lang w:val="en-US" w:eastAsia="zh-CN"/>
        </w:rPr>
        <w:t>民生工作全力抓实，人民福祉持续增进</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1.强化驻村帮扶工作力度。</w:t>
      </w:r>
      <w:r>
        <w:rPr>
          <w:rFonts w:hint="eastAsia" w:ascii="仿宋" w:hAnsi="仿宋" w:eastAsia="仿宋" w:cs="仿宋"/>
          <w:b w:val="0"/>
          <w:bCs w:val="0"/>
          <w:kern w:val="2"/>
          <w:sz w:val="32"/>
          <w:szCs w:val="32"/>
          <w:lang w:val="en-US" w:eastAsia="zh-CN" w:bidi="ar-SA"/>
        </w:rPr>
        <w:t>现有春和村、金龙村、西湖村等3支乡村振兴驻村工作队，共有驻村工作队员8人，全镇共有驻村第一书记11人，除驻村工作队以外的驻村成员皆于2024年5月期满回到原单位。推动强组织。督导驻村第一书记加强村“两委”班子建设，促进担当作为，加强党支部“五化”建设。推动固成果。督导驻村工作队积极协助村“两委”开展防返贫监测工作，全面落实驻村工作队员每人每月走访群众不少10户的要求，10月已实现镇域范围内驻点村的重点户、困难户走访全覆盖，驻点村其他群众走访率已达80%。推动兴产业。加强驻点村2024年项目库建设，因地制宜，发展文旅研学、加工、种植、养殖等产业经济，促进一二三产业深度融合。2024年驻村干部全力参与市域治理现代化村级验收工作，着力提升乡村善治水平。推动驻村工作队和驻村第一书记积极开展屋场恳谈会，问计于民、问需于民。推动驻村第一书记积极参与基层减负，督促落实“四议两公开”制度，抓好党务村务财务公开。2024年在全镇范围内开展“最是乡音解乡愁”民情大走访工作，走访过程中全面摸排驻点村人才队伍情况，积极助推驻点村人才振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40"/>
          <w:lang w:val="en-US" w:eastAsia="zh-CN" w:bidi="ar-SA"/>
        </w:rPr>
      </w:pPr>
      <w:r>
        <w:rPr>
          <w:rFonts w:hint="eastAsia" w:ascii="仿宋" w:hAnsi="仿宋" w:eastAsia="仿宋" w:cs="仿宋"/>
          <w:b/>
          <w:bCs/>
          <w:kern w:val="2"/>
          <w:sz w:val="32"/>
          <w:szCs w:val="40"/>
          <w:lang w:val="en-US" w:eastAsia="zh-CN" w:bidi="ar-SA"/>
        </w:rPr>
        <w:t>2.</w:t>
      </w:r>
      <w:r>
        <w:rPr>
          <w:rFonts w:hint="eastAsia" w:ascii="仿宋" w:hAnsi="仿宋" w:eastAsia="仿宋" w:cs="仿宋"/>
          <w:b/>
          <w:bCs/>
          <w:sz w:val="32"/>
          <w:szCs w:val="32"/>
          <w:lang w:val="en-US" w:eastAsia="zh-CN"/>
        </w:rPr>
        <w:t>做好防返贫监测工作。</w:t>
      </w:r>
      <w:r>
        <w:rPr>
          <w:rFonts w:hint="eastAsia" w:ascii="仿宋" w:hAnsi="仿宋" w:eastAsia="仿宋" w:cs="仿宋"/>
          <w:b w:val="0"/>
          <w:bCs w:val="0"/>
          <w:kern w:val="2"/>
          <w:sz w:val="32"/>
          <w:szCs w:val="32"/>
          <w:lang w:val="en-US" w:eastAsia="zh-CN" w:bidi="ar-SA"/>
        </w:rPr>
        <w:t>3月对2023年度全国乡村建设信息监测平台上的各村数据进行更新。各村摸排脱贫户监测户在外务工人员的信息，并在全国防止返贫监测和衔接推进乡村振兴信息系统上更新在外务工人员务工时间、地点等信息。教育帮扶方面，全镇共上报中职、高职学生春季雨露计划32人，秋季雨露计划25人。9月份组织开展2024年防止返贫监测帮扶集中排查工作，对全镇所有农村地区和所有农户开展全覆盖排查。扎实开展防返贫监测和帮扶工作，开展防返贫风险集中排查2次，风险消除7户22人，实行帮扶责任人与监测户脱贫户“一对一”结对，精准制定帮扶措施，全面走访了解监测户生活情况。通过防返贫监测系统大数据分析比对，核实处理风险预警数据50条。调整申报乡村振兴入库项目36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_GB2312" w:hAnsi="仿宋_GB2312" w:eastAsia="仿宋_GB2312" w:cs="仿宋_GB2312"/>
          <w:b/>
          <w:bCs/>
          <w:kern w:val="2"/>
          <w:sz w:val="32"/>
          <w:szCs w:val="40"/>
          <w:lang w:val="en-US" w:eastAsia="zh-CN" w:bidi="ar-SA"/>
        </w:rPr>
        <w:t>3.深入推进改厕工作。</w:t>
      </w:r>
      <w:r>
        <w:rPr>
          <w:rFonts w:hint="eastAsia" w:ascii="仿宋" w:hAnsi="仿宋" w:eastAsia="仿宋" w:cs="仿宋"/>
          <w:b w:val="0"/>
          <w:bCs w:val="0"/>
          <w:kern w:val="2"/>
          <w:sz w:val="32"/>
          <w:szCs w:val="32"/>
          <w:lang w:val="en-US" w:eastAsia="zh-CN" w:bidi="ar-SA"/>
        </w:rPr>
        <w:t>6月份，对各村2023年新建的106户卫生厕所和重建户验收，在省改厕系统中，对2023年录入的往年改厕数据核实更正。农村“厕所革命”有序推进。今年改厕新建四格式卫生厕所3户，集中联建116户，公厕两座（庙前村、西湖村），明确专人专职，倒排工期，挂图作战，全力推进农村改厕工作，确保11月中旬前要全面完成年度农村厕所建设任务，12月中旬前完成核查验收和资金支付。同时加大农村农村改厕资金监管力度，对资金申报、拨付、使用各环节，全程跟踪管理、监督到位，确保资金安全和效益发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4.</w:t>
      </w:r>
      <w:r>
        <w:rPr>
          <w:rFonts w:hint="eastAsia" w:ascii="仿宋" w:hAnsi="仿宋" w:eastAsia="仿宋" w:cs="仿宋"/>
          <w:b/>
          <w:bCs/>
          <w:i w:val="0"/>
          <w:iCs w:val="0"/>
          <w:caps w:val="0"/>
          <w:color w:val="000000"/>
          <w:spacing w:val="0"/>
          <w:sz w:val="32"/>
          <w:szCs w:val="32"/>
          <w:shd w:val="clear" w:fill="FFFFFF"/>
        </w:rPr>
        <w:t>保障体系加速构建</w:t>
      </w:r>
      <w:r>
        <w:rPr>
          <w:rFonts w:hint="eastAsia" w:ascii="仿宋" w:hAnsi="仿宋" w:eastAsia="仿宋" w:cs="仿宋"/>
          <w:b/>
          <w:bCs/>
          <w:i w:val="0"/>
          <w:iCs w:val="0"/>
          <w:caps w:val="0"/>
          <w:color w:val="000000"/>
          <w:spacing w:val="0"/>
          <w:sz w:val="32"/>
          <w:szCs w:val="32"/>
          <w:shd w:val="clear" w:fill="FFFFFF"/>
          <w:lang w:eastAsia="zh-CN"/>
        </w:rPr>
        <w:t>。</w:t>
      </w:r>
      <w:r>
        <w:rPr>
          <w:rFonts w:hint="eastAsia" w:ascii="仿宋" w:hAnsi="仿宋" w:eastAsia="仿宋" w:cs="仿宋"/>
          <w:b w:val="0"/>
          <w:bCs w:val="0"/>
          <w:kern w:val="2"/>
          <w:sz w:val="32"/>
          <w:szCs w:val="32"/>
          <w:lang w:val="en-US" w:eastAsia="zh-CN" w:bidi="ar-SA"/>
        </w:rPr>
        <w:t>全镇享受最低生活保障273户530人，其中低保边缘户单人保78户，每月低保发放涉及资金共计149061元，2024年庙前镇共计新增低保30户57人，新增特困供养对象7人。</w:t>
      </w:r>
      <w:r>
        <w:rPr>
          <w:rFonts w:hint="eastAsia" w:ascii="仿宋" w:hAnsi="仿宋" w:eastAsia="仿宋" w:cs="仿宋"/>
          <w:b w:val="0"/>
          <w:bCs w:val="0"/>
          <w:i w:val="0"/>
          <w:iCs w:val="0"/>
          <w:caps w:val="0"/>
          <w:color w:val="000000"/>
          <w:spacing w:val="0"/>
          <w:sz w:val="32"/>
          <w:szCs w:val="32"/>
          <w:shd w:val="clear" w:fill="FFFFFF"/>
          <w:lang w:val="en-US" w:eastAsia="zh-CN"/>
        </w:rPr>
        <w:t>在册持证残疾人467人，享受残疾人“两项补贴”的重度残疾人补助231人，困难残疾人补助134人,每月残疾人两项补贴发放涉及资金共计32850元。在册享受临时救助、救急难人员共98户，共发放96100元，解决群众救急难3人共计3000元。目前在册享受事实无人抚养儿童有9人、留守儿童70人、流动儿童30人、留守老人51人、留守妇女91人。建立留守、困境、单亲家庭儿童三级防溺水信息管理台账，及时动态更新儿童福利信息系统，积极开展未成年人关爱服务。全镇90岁高龄老人共25人，每人每月100元补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left"/>
        <w:textAlignment w:val="auto"/>
        <w:rPr>
          <w:rFonts w:hint="eastAsia" w:ascii="楷体" w:hAnsi="楷体" w:eastAsia="楷体" w:cs="楷体"/>
          <w:i w:val="0"/>
          <w:iCs w:val="0"/>
          <w:caps w:val="0"/>
          <w:color w:val="000000" w:themeColor="text1"/>
          <w:spacing w:val="0"/>
          <w:sz w:val="32"/>
          <w:szCs w:val="32"/>
          <w:shd w:val="clear" w:fill="FFFFFF"/>
          <w:lang w:val="en-US" w:eastAsia="zh-CN"/>
        </w:rPr>
      </w:pPr>
      <w:r>
        <w:rPr>
          <w:rFonts w:hint="eastAsia" w:ascii="楷体" w:hAnsi="楷体" w:eastAsia="楷体" w:cs="楷体"/>
          <w:i w:val="0"/>
          <w:iCs w:val="0"/>
          <w:caps w:val="0"/>
          <w:color w:val="000000" w:themeColor="text1"/>
          <w:spacing w:val="0"/>
          <w:sz w:val="32"/>
          <w:szCs w:val="32"/>
          <w:shd w:val="clear" w:fill="FFFFFF"/>
          <w:lang w:val="en-US" w:eastAsia="zh-CN"/>
        </w:rPr>
        <w:t>自身建设不断强化，服务水平持续提升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1.党纪学习</w:t>
      </w:r>
      <w:bookmarkStart w:id="0" w:name="_GoBack"/>
      <w:bookmarkEnd w:id="0"/>
      <w:r>
        <w:rPr>
          <w:rFonts w:hint="eastAsia" w:ascii="仿宋" w:hAnsi="仿宋" w:eastAsia="仿宋" w:cs="仿宋"/>
          <w:b/>
          <w:bCs/>
          <w:color w:val="000000"/>
          <w:kern w:val="2"/>
          <w:sz w:val="32"/>
          <w:szCs w:val="32"/>
          <w:shd w:val="clear" w:color="auto" w:fill="FFFFFF"/>
          <w:lang w:val="en-US" w:eastAsia="zh-CN" w:bidi="ar-SA"/>
        </w:rPr>
        <w:t>教育稳固扎根。</w:t>
      </w:r>
      <w:r>
        <w:rPr>
          <w:rFonts w:hint="eastAsia" w:ascii="仿宋" w:hAnsi="仿宋" w:eastAsia="仿宋" w:cs="仿宋"/>
          <w:color w:val="000000"/>
          <w:kern w:val="2"/>
          <w:sz w:val="32"/>
          <w:szCs w:val="32"/>
          <w:shd w:val="clear" w:color="auto" w:fill="FFFFFF"/>
          <w:lang w:val="en-US" w:eastAsia="zh-CN" w:bidi="ar-SA"/>
        </w:rPr>
        <w:t>强化组织领导，明确学习“主色”。成立庙前镇党纪学习教育工作专班，制定《庙前镇党纪学习教育实施方案》和党委理论中心组党纪学习教育学习安排。强化理论学习，擦亮政治“底色”。通过“集中学习＋个人自学”相结合的方式，充分利用干部例会、主题党日、党委理论学习中心组等形式，陆续开展专题学习。目前，我镇党委理论中心组共开展4次学习研讨，全镇16个支部均开展4次研讨，支部书记上党课16次。强化警示教育，筑牢清正“本色”。全镇各级党组织把近年来查处的违纪违法典型案例作为“活教材”，通过“三会一课”等将案例内容宣教到广大党员，进一步强化警示教育的深刻性和感染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2.党员教育入脑入心。</w:t>
      </w:r>
      <w:r>
        <w:rPr>
          <w:rFonts w:hint="eastAsia" w:ascii="仿宋" w:hAnsi="仿宋" w:eastAsia="仿宋" w:cs="仿宋"/>
          <w:color w:val="000000"/>
          <w:kern w:val="2"/>
          <w:sz w:val="32"/>
          <w:szCs w:val="32"/>
          <w:shd w:val="clear" w:color="auto" w:fill="FFFFFF"/>
          <w:lang w:val="en-US" w:eastAsia="zh-CN" w:bidi="ar-SA"/>
        </w:rPr>
        <w:t>创新培训形式，创新打造“庙前课堂”。庙前镇党委把党员教育培训与全镇重点工作相结合，创新打造“庙前课堂”培训班，采取“讲学结合、现场教学”的模式，促进年轻干部个人能力与工作成效“双提升”。精心谋划部署，党员冬春训从“实”出发。全镇12个村（社区）均安排了两名及以上的镇机关工作人员指导党员冬春训培训工作。全镇2023-2024年度农村党员冬春训共覆盖党员700余人次，实现培训覆盖率100%。积极引导党员、邻长投身乡村治理，开展人居环境整治、交通劝导、助力春耕生产、森林防火巡逻等志愿服务600余人次，解决回应群众关切问题20余条，进一步提高了党员的宗旨意识和服务能力。紧扣抓党建促治理。推行“党建＋微网格”工作模式，全面落实“三长制”工作，搭建“片—组—邻”架构，片长63人，组长174人，邻长726人,每季度定期召开民情分析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3.基层减负稳步见效。</w:t>
      </w:r>
      <w:r>
        <w:rPr>
          <w:rFonts w:hint="eastAsia" w:ascii="仿宋" w:hAnsi="仿宋" w:eastAsia="仿宋" w:cs="仿宋"/>
          <w:color w:val="000000"/>
          <w:kern w:val="2"/>
          <w:sz w:val="32"/>
          <w:szCs w:val="32"/>
          <w:shd w:val="clear" w:color="auto" w:fill="FFFFFF"/>
          <w:lang w:val="en-US" w:eastAsia="zh-CN" w:bidi="ar-SA"/>
        </w:rPr>
        <w:t>在精简文件会议上精准发力。对机关发文、会议从严审核把关，切实把数量减下来，把质量提上去。今年以来，镇党委、镇政府发文分别37份、17份，召开会议46次。在规范督查考核上精准发力。建立和完善激励机制和容错纠错机制，切实规范我镇督查检查考核工作。充分发挥年终考核“指挥棒”作用，推动平时检查与年终考核有效衔接。在建立长效机制上精准发力。紧扣破解基层治理“小马拉大车”主题，分级制定村级组织工作事务、规范挂牌和证明事项指导目录。村级组织严格遵守挂牌规范指南，活动场所严格按省“3+5+5”规范挂牌。</w:t>
      </w:r>
    </w:p>
    <w:p>
      <w:pPr>
        <w:widowControl/>
        <w:shd w:val="clear" w:color="auto" w:fill="FFFFFF"/>
        <w:spacing w:line="56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六、存在的主要问题和原因</w:t>
      </w:r>
    </w:p>
    <w:p>
      <w:pPr>
        <w:widowControl/>
        <w:shd w:val="clear" w:color="auto" w:fill="FFFFFF"/>
        <w:spacing w:line="560" w:lineRule="exact"/>
        <w:ind w:firstLine="640" w:firstLineChars="200"/>
        <w:rPr>
          <w:rFonts w:ascii="仿宋" w:hAnsi="仿宋" w:eastAsia="仿宋"/>
          <w:sz w:val="32"/>
          <w:highlight w:val="white"/>
        </w:rPr>
      </w:pPr>
      <w:r>
        <w:rPr>
          <w:rFonts w:hint="eastAsia" w:ascii="仿宋" w:hAnsi="仿宋" w:eastAsia="仿宋"/>
          <w:sz w:val="32"/>
          <w:highlight w:val="white"/>
        </w:rPr>
        <w:t>庙前镇经济社会高质量发展仍面临一些问题和挑战，主要有:</w:t>
      </w:r>
    </w:p>
    <w:p>
      <w:pPr>
        <w:widowControl/>
        <w:shd w:val="clear" w:color="auto" w:fill="FFFFFF"/>
        <w:spacing w:line="560" w:lineRule="exact"/>
        <w:ind w:firstLine="643" w:firstLineChars="200"/>
        <w:rPr>
          <w:rFonts w:ascii="仿宋" w:hAnsi="仿宋" w:eastAsia="仿宋"/>
          <w:sz w:val="32"/>
          <w:highlight w:val="white"/>
        </w:rPr>
      </w:pPr>
      <w:r>
        <w:rPr>
          <w:rFonts w:hint="eastAsia" w:ascii="仿宋" w:hAnsi="仿宋" w:eastAsia="仿宋" w:cs="仿宋"/>
          <w:b/>
          <w:bCs/>
          <w:color w:val="000000"/>
          <w:sz w:val="32"/>
          <w:szCs w:val="32"/>
          <w:shd w:val="clear" w:color="auto" w:fill="FFFFFF"/>
        </w:rPr>
        <w:t>1.招商引资力度不够，</w:t>
      </w:r>
      <w:r>
        <w:rPr>
          <w:rFonts w:hint="eastAsia" w:ascii="仿宋" w:hAnsi="仿宋" w:eastAsia="仿宋"/>
          <w:sz w:val="32"/>
          <w:highlight w:val="white"/>
        </w:rPr>
        <w:t>现有产业转型升级步伐不快，发展动能不足，大项目好项目不多。一是对外宣传力度不够，虽然庙前有自己的资源优势和地理优势，但由于财力有限，仅仅是勉强维持运转，没有余力投入招商引资宣传，无自己的宣传网站和手册，对外宣传自己和信息来源的渠道都比较窄。二是仍然停留在“守株待兔式”招商。怕走出去，又请不进来，方式单一，大项目引不来，小项目又不符合一些相关要求，浪费了现有资源。</w:t>
      </w:r>
    </w:p>
    <w:p>
      <w:pPr>
        <w:ind w:firstLine="643" w:firstLineChars="200"/>
        <w:rPr>
          <w:rFonts w:ascii="仿宋" w:hAnsi="仿宋" w:eastAsia="仿宋"/>
          <w:sz w:val="32"/>
          <w:highlight w:val="white"/>
        </w:rPr>
      </w:pPr>
      <w:r>
        <w:rPr>
          <w:rFonts w:hint="eastAsia" w:ascii="仿宋" w:hAnsi="仿宋" w:eastAsia="仿宋" w:cs="仿宋"/>
          <w:b/>
          <w:bCs/>
          <w:color w:val="000000"/>
          <w:sz w:val="32"/>
          <w:szCs w:val="32"/>
          <w:shd w:val="clear" w:color="auto" w:fill="FFFFFF"/>
        </w:rPr>
        <w:t>2.社会治理离群众期待还有差距。</w:t>
      </w:r>
      <w:r>
        <w:rPr>
          <w:rFonts w:hint="eastAsia" w:ascii="仿宋" w:hAnsi="仿宋" w:eastAsia="仿宋"/>
          <w:sz w:val="32"/>
          <w:highlight w:val="white"/>
        </w:rPr>
        <w:t>一是禁毒工作打击力度不够。随着网络技术和现代物流的发展，新型毒品违法犯罪活动更隐蔽、更加便捷，造成发现难、打击难等问题；吸毒人员管控工作难度仍然较大。吸毒人员中外出较多，尿检等管控措施不能及时到位。二是对行政许可法和其他事关农村群众切身利益的法律法规的宣传力度不大，执法力度达不到，许多群众对行政许可法等法律法规知之甚少，造成执法干部用法律法规依法行政时，部分群众不能配合。三是执法队伍机构体制还不完善，有些执法业务市、镇相同，配合机制不够完善，存在镇管不了，市管不到现状，执法人员无法把执法的效益最大限度的发挥出来。四是宣传教育措施、方式方法变化不大，法治宣传教育形式有待进一步创新，宣传教育深度和氛围不足。对禁毒、信访、执法等方面的法律法规宣传力度不大，执法力度达不到，执法过程中部分群众配合度不高。</w:t>
      </w:r>
    </w:p>
    <w:p>
      <w:pPr>
        <w:ind w:firstLine="643" w:firstLineChars="200"/>
        <w:rPr>
          <w:rFonts w:ascii="仿宋" w:hAnsi="仿宋" w:eastAsia="仿宋"/>
          <w:sz w:val="32"/>
          <w:highlight w:val="white"/>
        </w:rPr>
      </w:pPr>
      <w:r>
        <w:rPr>
          <w:rFonts w:hint="eastAsia" w:ascii="仿宋" w:hAnsi="仿宋" w:eastAsia="仿宋_GB2312" w:cs="仿宋"/>
          <w:b/>
          <w:bCs/>
          <w:sz w:val="32"/>
        </w:rPr>
        <w:t>3.</w:t>
      </w:r>
      <w:r>
        <w:rPr>
          <w:rFonts w:ascii="仿宋" w:hAnsi="仿宋" w:eastAsia="仿宋_GB2312" w:cs="仿宋"/>
          <w:b/>
          <w:bCs/>
          <w:sz w:val="32"/>
        </w:rPr>
        <w:t>村集体经济缺少产业支撑，农民持续增收难度较大</w:t>
      </w:r>
      <w:r>
        <w:rPr>
          <w:rFonts w:hint="eastAsia" w:ascii="仿宋" w:hAnsi="仿宋" w:eastAsia="仿宋_GB2312" w:cs="仿宋"/>
          <w:b/>
          <w:bCs/>
          <w:sz w:val="32"/>
        </w:rPr>
        <w:t>。</w:t>
      </w:r>
      <w:r>
        <w:rPr>
          <w:rFonts w:hint="eastAsia" w:ascii="仿宋" w:hAnsi="仿宋" w:eastAsia="仿宋"/>
          <w:sz w:val="32"/>
          <w:highlight w:val="white"/>
        </w:rPr>
        <w:t>一是庙前的村集体经济收入主要依赖土地流转和生态公益林补贴，经济发展内生动力不足，缺乏自我造血功能。二是技术落后，缺乏现代化的管理和技术手段，无法达到高效盈利的要求，限制了其有效运营。</w:t>
      </w:r>
    </w:p>
    <w:p>
      <w:pPr>
        <w:ind w:firstLine="643" w:firstLineChars="200"/>
        <w:rPr>
          <w:rFonts w:ascii="仿宋_GB2312" w:hAnsi="Times New Roman" w:eastAsia="仿宋_GB2312" w:cs="Times New Roman"/>
          <w:color w:val="FF0000"/>
          <w:sz w:val="32"/>
          <w:szCs w:val="32"/>
        </w:rPr>
      </w:pPr>
      <w:r>
        <w:rPr>
          <w:rFonts w:hint="eastAsia" w:ascii="仿宋" w:hAnsi="仿宋" w:eastAsia="仿宋_GB2312" w:cs="仿宋"/>
          <w:b/>
          <w:bCs/>
          <w:sz w:val="32"/>
        </w:rPr>
        <w:t>4.公用经费和项目经费存在缺口。</w:t>
      </w:r>
    </w:p>
    <w:p>
      <w:pPr>
        <w:pStyle w:val="11"/>
        <w:spacing w:before="0" w:after="0" w:line="580" w:lineRule="exact"/>
        <w:ind w:firstLine="640" w:firstLineChars="200"/>
        <w:rPr>
          <w:rFonts w:ascii="黑体" w:hAnsi="黑体" w:eastAsia="黑体" w:cs="黑体"/>
          <w:b w:val="0"/>
          <w:bCs w:val="0"/>
          <w:kern w:val="2"/>
          <w:sz w:val="32"/>
          <w:szCs w:val="32"/>
        </w:rPr>
      </w:pPr>
      <w:r>
        <w:rPr>
          <w:rFonts w:hint="eastAsia" w:ascii="黑体" w:hAnsi="黑体" w:eastAsia="黑体" w:cs="黑体"/>
          <w:b w:val="0"/>
          <w:bCs w:val="0"/>
          <w:kern w:val="2"/>
          <w:sz w:val="32"/>
          <w:szCs w:val="32"/>
        </w:rPr>
        <w:t>七、改进措施和建议</w:t>
      </w:r>
    </w:p>
    <w:p>
      <w:pPr>
        <w:ind w:firstLine="640" w:firstLineChars="200"/>
        <w:rPr>
          <w:rFonts w:ascii="仿宋" w:hAnsi="仿宋" w:eastAsia="仿宋"/>
          <w:sz w:val="32"/>
          <w:highlight w:val="white"/>
        </w:rPr>
      </w:pPr>
      <w:r>
        <w:rPr>
          <w:rFonts w:hint="eastAsia" w:ascii="仿宋" w:hAnsi="仿宋" w:eastAsia="仿宋"/>
          <w:sz w:val="32"/>
          <w:highlight w:val="white"/>
        </w:rPr>
        <w:t>1. 按照量入为出、收支平衡的原则编制预算，收入和支出纳入预算。从严控制“三公”经费，严格控制和压减一般性支出。扎实推进预决算公开，提高财政透明度。</w:t>
      </w:r>
    </w:p>
    <w:p>
      <w:pPr>
        <w:ind w:firstLine="640" w:firstLineChars="200"/>
        <w:rPr>
          <w:rFonts w:ascii="仿宋" w:hAnsi="仿宋" w:eastAsia="仿宋"/>
          <w:sz w:val="32"/>
          <w:highlight w:val="white"/>
        </w:rPr>
      </w:pPr>
      <w:r>
        <w:rPr>
          <w:rFonts w:hint="eastAsia" w:ascii="仿宋" w:hAnsi="仿宋" w:eastAsia="仿宋"/>
          <w:sz w:val="32"/>
          <w:highlight w:val="white"/>
        </w:rPr>
        <w:t>2. 进一步建立健全预算绩效管理工作制度，加强预算绩效管理，通过开展预算绩效管理工作培训、与财政和绩效管理先进单位交流学习等方式提高单位绩效管理工作能力和水平。</w:t>
      </w:r>
    </w:p>
    <w:p>
      <w:pPr>
        <w:ind w:firstLine="640" w:firstLineChars="200"/>
        <w:rPr>
          <w:rFonts w:ascii="仿宋" w:hAnsi="仿宋" w:eastAsia="仿宋"/>
          <w:sz w:val="32"/>
          <w:highlight w:val="white"/>
        </w:rPr>
      </w:pPr>
      <w:r>
        <w:rPr>
          <w:rFonts w:hint="eastAsia" w:ascii="仿宋" w:hAnsi="仿宋" w:eastAsia="仿宋"/>
          <w:sz w:val="32"/>
          <w:highlight w:val="white"/>
        </w:rPr>
        <w:t>3. 结合庙前镇工作实际特点，建立绩效指标库。</w:t>
      </w:r>
    </w:p>
    <w:p>
      <w:pPr>
        <w:ind w:firstLine="640" w:firstLineChars="200"/>
        <w:rPr>
          <w:rFonts w:ascii="仿宋" w:hAnsi="仿宋" w:eastAsia="仿宋"/>
          <w:sz w:val="32"/>
          <w:highlight w:val="white"/>
        </w:rPr>
      </w:pPr>
    </w:p>
    <w:p>
      <w:pPr>
        <w:ind w:firstLine="640" w:firstLineChars="200"/>
        <w:rPr>
          <w:rFonts w:ascii="仿宋" w:hAnsi="仿宋" w:eastAsia="仿宋"/>
          <w:sz w:val="32"/>
          <w:highlight w:val="white"/>
        </w:rPr>
      </w:pPr>
    </w:p>
    <w:p>
      <w:pPr>
        <w:widowControl/>
        <w:spacing w:line="360" w:lineRule="auto"/>
        <w:rPr>
          <w:rFonts w:ascii="仿宋" w:hAnsi="仿宋" w:eastAsia="仿宋" w:cs="仿宋"/>
          <w:b/>
          <w:bCs/>
          <w:sz w:val="32"/>
          <w:szCs w:val="32"/>
        </w:rPr>
      </w:pPr>
    </w:p>
    <w:p>
      <w:pPr>
        <w:widowControl/>
        <w:spacing w:line="360" w:lineRule="auto"/>
        <w:rPr>
          <w:rFonts w:ascii="仿宋" w:hAnsi="仿宋" w:eastAsia="仿宋" w:cs="仿宋"/>
          <w:b/>
          <w:bCs/>
          <w:sz w:val="32"/>
          <w:szCs w:val="32"/>
        </w:rPr>
      </w:pPr>
    </w:p>
    <w:p>
      <w:pPr>
        <w:widowControl/>
        <w:shd w:val="clear" w:color="auto" w:fill="FFFFFF"/>
        <w:ind w:firstLine="640" w:firstLineChars="200"/>
        <w:jc w:val="left"/>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80" w:lineRule="exact"/>
        <w:ind w:firstLine="640" w:firstLineChars="20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B3072"/>
    <w:multiLevelType w:val="singleLevel"/>
    <w:tmpl w:val="B0FB3072"/>
    <w:lvl w:ilvl="0" w:tentative="0">
      <w:start w:val="1"/>
      <w:numFmt w:val="chineseCounting"/>
      <w:suff w:val="nothing"/>
      <w:lvlText w:val="（%1）"/>
      <w:lvlJc w:val="left"/>
      <w:pPr>
        <w:ind w:left="-10"/>
      </w:pPr>
      <w:rPr>
        <w:rFonts w:hint="eastAsia"/>
      </w:rPr>
    </w:lvl>
  </w:abstractNum>
  <w:abstractNum w:abstractNumId="1">
    <w:nsid w:val="D9DBB648"/>
    <w:multiLevelType w:val="multilevel"/>
    <w:tmpl w:val="D9DBB648"/>
    <w:lvl w:ilvl="0" w:tentative="0">
      <w:start w:val="1"/>
      <w:numFmt w:val="decimal"/>
      <w:pStyle w:val="13"/>
      <w:suff w:val="nothing"/>
      <w:lvlText w:val="%1．"/>
      <w:lvlJc w:val="left"/>
      <w:pPr>
        <w:tabs>
          <w:tab w:val="left" w:pos="420"/>
        </w:tabs>
        <w:ind w:left="0" w:firstLine="0"/>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jNmQxYjM4ZTM0ZjAwY2E5MzIxZDk1YTRhNGQ1OTQifQ=="/>
    <w:docVar w:name="KSO_WPS_MARK_KEY" w:val="643bb5de-d0c1-4954-a205-0660f7443e06"/>
  </w:docVars>
  <w:rsids>
    <w:rsidRoot w:val="57C01203"/>
    <w:rsid w:val="00053FE7"/>
    <w:rsid w:val="000C4D14"/>
    <w:rsid w:val="00195CB7"/>
    <w:rsid w:val="002070AE"/>
    <w:rsid w:val="00285E0D"/>
    <w:rsid w:val="003212C0"/>
    <w:rsid w:val="00413502"/>
    <w:rsid w:val="0043728A"/>
    <w:rsid w:val="00445D7D"/>
    <w:rsid w:val="00557B1A"/>
    <w:rsid w:val="0060142E"/>
    <w:rsid w:val="00641950"/>
    <w:rsid w:val="007D26F2"/>
    <w:rsid w:val="007E5F01"/>
    <w:rsid w:val="00851E2F"/>
    <w:rsid w:val="008B70B0"/>
    <w:rsid w:val="00982F7A"/>
    <w:rsid w:val="009C2EC6"/>
    <w:rsid w:val="00A41DC9"/>
    <w:rsid w:val="00A9281F"/>
    <w:rsid w:val="00B30EF9"/>
    <w:rsid w:val="00CF1A4B"/>
    <w:rsid w:val="00CF3C9D"/>
    <w:rsid w:val="00D422F7"/>
    <w:rsid w:val="00DB1DC7"/>
    <w:rsid w:val="00E012BB"/>
    <w:rsid w:val="00E507C6"/>
    <w:rsid w:val="00F2259B"/>
    <w:rsid w:val="00FE170B"/>
    <w:rsid w:val="02861297"/>
    <w:rsid w:val="050E6120"/>
    <w:rsid w:val="06377CD2"/>
    <w:rsid w:val="0E0B38F0"/>
    <w:rsid w:val="0E833DCE"/>
    <w:rsid w:val="1097773A"/>
    <w:rsid w:val="113D5AF5"/>
    <w:rsid w:val="11CA5F72"/>
    <w:rsid w:val="11F602A0"/>
    <w:rsid w:val="15133F8D"/>
    <w:rsid w:val="15FD4466"/>
    <w:rsid w:val="17945F57"/>
    <w:rsid w:val="17A6337B"/>
    <w:rsid w:val="17C0700C"/>
    <w:rsid w:val="190C57B6"/>
    <w:rsid w:val="19946E8F"/>
    <w:rsid w:val="1AE82592"/>
    <w:rsid w:val="1C0F4EF3"/>
    <w:rsid w:val="1E7447BE"/>
    <w:rsid w:val="1EF81C6E"/>
    <w:rsid w:val="20622978"/>
    <w:rsid w:val="207672EF"/>
    <w:rsid w:val="21A961FB"/>
    <w:rsid w:val="222F444B"/>
    <w:rsid w:val="22356A9C"/>
    <w:rsid w:val="24255BE8"/>
    <w:rsid w:val="24AD52A9"/>
    <w:rsid w:val="255D1949"/>
    <w:rsid w:val="289E66F9"/>
    <w:rsid w:val="2A9A0CD9"/>
    <w:rsid w:val="2C646B95"/>
    <w:rsid w:val="312A3404"/>
    <w:rsid w:val="319173AA"/>
    <w:rsid w:val="31AF08B2"/>
    <w:rsid w:val="32613924"/>
    <w:rsid w:val="33FF2461"/>
    <w:rsid w:val="34E76663"/>
    <w:rsid w:val="37BF2745"/>
    <w:rsid w:val="38E92CF6"/>
    <w:rsid w:val="39A01163"/>
    <w:rsid w:val="3C1E3C1A"/>
    <w:rsid w:val="3E8B2BA8"/>
    <w:rsid w:val="3EF115E1"/>
    <w:rsid w:val="40C60915"/>
    <w:rsid w:val="41D60173"/>
    <w:rsid w:val="43047427"/>
    <w:rsid w:val="439755FA"/>
    <w:rsid w:val="44810396"/>
    <w:rsid w:val="45886FF9"/>
    <w:rsid w:val="476A73B1"/>
    <w:rsid w:val="48EF3221"/>
    <w:rsid w:val="4A3230B0"/>
    <w:rsid w:val="4A677A11"/>
    <w:rsid w:val="4C0F30D2"/>
    <w:rsid w:val="4E1A4EAE"/>
    <w:rsid w:val="4E224D85"/>
    <w:rsid w:val="4E7C20FC"/>
    <w:rsid w:val="4E855305"/>
    <w:rsid w:val="4EFD69EB"/>
    <w:rsid w:val="572D0056"/>
    <w:rsid w:val="57C01203"/>
    <w:rsid w:val="57D80F86"/>
    <w:rsid w:val="59D642F0"/>
    <w:rsid w:val="5B7628FD"/>
    <w:rsid w:val="5C866AAB"/>
    <w:rsid w:val="5CCC0120"/>
    <w:rsid w:val="5DC47E2D"/>
    <w:rsid w:val="5F5626CB"/>
    <w:rsid w:val="5F943C5A"/>
    <w:rsid w:val="62436329"/>
    <w:rsid w:val="64F721CE"/>
    <w:rsid w:val="668138C4"/>
    <w:rsid w:val="6CDF30F3"/>
    <w:rsid w:val="6F9D3D7A"/>
    <w:rsid w:val="71FB2726"/>
    <w:rsid w:val="725107C2"/>
    <w:rsid w:val="733817AF"/>
    <w:rsid w:val="742E75E3"/>
    <w:rsid w:val="75AD6153"/>
    <w:rsid w:val="78C14D44"/>
    <w:rsid w:val="798B6ADC"/>
    <w:rsid w:val="79B31B8F"/>
    <w:rsid w:val="7C020D48"/>
    <w:rsid w:val="7CDC13FD"/>
    <w:rsid w:val="7E837D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3"/>
    <w:qFormat/>
    <w:uiPriority w:val="0"/>
    <w:pPr>
      <w:autoSpaceDE w:val="0"/>
      <w:autoSpaceDN w:val="0"/>
      <w:adjustRightInd w:val="0"/>
      <w:ind w:firstLine="420"/>
      <w:jc w:val="left"/>
    </w:pPr>
    <w:rPr>
      <w:rFonts w:ascii="Calibri" w:hAnsi="Calibri"/>
      <w:kern w:val="0"/>
    </w:rPr>
  </w:style>
  <w:style w:type="character" w:styleId="10">
    <w:name w:val="Strong"/>
    <w:basedOn w:val="9"/>
    <w:qFormat/>
    <w:uiPriority w:val="0"/>
    <w:rPr>
      <w:b/>
    </w:rPr>
  </w:style>
  <w:style w:type="paragraph" w:customStyle="1" w:styleId="11">
    <w:name w:val="标4"/>
    <w:basedOn w:val="1"/>
    <w:qFormat/>
    <w:uiPriority w:val="99"/>
    <w:pPr>
      <w:adjustRightInd w:val="0"/>
      <w:spacing w:before="240" w:after="360" w:line="240" w:lineRule="exact"/>
      <w:outlineLvl w:val="3"/>
    </w:pPr>
    <w:rPr>
      <w:rFonts w:ascii="Arial" w:hAnsi="Arial" w:cs="Arial"/>
      <w:b/>
      <w:bCs/>
      <w:kern w:val="24"/>
    </w:rPr>
  </w:style>
  <w:style w:type="paragraph" w:customStyle="1" w:styleId="12">
    <w:name w:val="列出段落1"/>
    <w:basedOn w:val="1"/>
    <w:qFormat/>
    <w:uiPriority w:val="34"/>
    <w:pPr>
      <w:ind w:firstLine="420" w:firstLineChars="200"/>
    </w:pPr>
  </w:style>
  <w:style w:type="paragraph" w:customStyle="1" w:styleId="13">
    <w:name w:val="公文:3级标题"/>
    <w:qFormat/>
    <w:uiPriority w:val="0"/>
    <w:pPr>
      <w:numPr>
        <w:ilvl w:val="0"/>
        <w:numId w:val="1"/>
      </w:numPr>
      <w:outlineLvl w:val="2"/>
    </w:pPr>
    <w:rPr>
      <w:rFonts w:eastAsia="仿宋"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6537</Words>
  <Characters>6901</Characters>
  <Lines>3</Lines>
  <Paragraphs>12</Paragraphs>
  <TotalTime>6</TotalTime>
  <ScaleCrop>false</ScaleCrop>
  <LinksUpToDate>false</LinksUpToDate>
  <CharactersWithSpaces>6904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2024-04-19T01:44:00Z</dcterms:created>
  <dc:creator>人中之雄</dc:creator>
  <cp:lastModifiedBy>蒋阔</cp:lastModifiedBy>
  <cp:lastPrinted>2025-08-31T13:27:00Z</cp:lastPrinted>
  <dcterms:modified xsi:type="dcterms:W3CDTF">2025-09-10T00:38:01Z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4536317AA7214D7BBBD94CF7876AEBBA_13</vt:lpwstr>
  </property>
  <property fmtid="{D5CDD505-2E9C-101B-9397-08002B2CF9AE}" pid="4" name="KSOTemplateDocerSaveRecord">
    <vt:lpwstr>eyJoZGlkIjoiZDZmNTE4NzIzZjc1ODU0MDFhMzRlZGU3MDU3MTM3ZWEifQ==</vt:lpwstr>
  </property>
</Properties>
</file>