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cs="仿宋"/>
          <w:b/>
          <w:sz w:val="28"/>
          <w:szCs w:val="28"/>
        </w:rPr>
      </w:pPr>
    </w:p>
    <w:p>
      <w:pPr>
        <w:jc w:val="center"/>
        <w:rPr>
          <w:rFonts w:hint="eastAsia" w:ascii="仿宋" w:hAnsi="仿宋" w:eastAsia="仿宋" w:cs="仿宋"/>
          <w:b/>
          <w:sz w:val="44"/>
          <w:szCs w:val="44"/>
        </w:rPr>
      </w:pPr>
      <w:r>
        <w:rPr>
          <w:rFonts w:hint="eastAsia" w:ascii="仿宋" w:hAnsi="仿宋" w:eastAsia="仿宋" w:cs="仿宋"/>
          <w:b/>
          <w:sz w:val="44"/>
          <w:szCs w:val="44"/>
        </w:rPr>
        <w:t>荫田镇人民政府</w:t>
      </w:r>
      <w:r>
        <w:rPr>
          <w:rFonts w:hint="eastAsia" w:ascii="仿宋" w:hAnsi="仿宋" w:eastAsia="仿宋" w:cs="仿宋"/>
          <w:b/>
          <w:sz w:val="44"/>
          <w:szCs w:val="44"/>
          <w:lang w:eastAsia="zh-CN"/>
        </w:rPr>
        <w:t>2022</w:t>
      </w:r>
      <w:r>
        <w:rPr>
          <w:rFonts w:hint="eastAsia" w:ascii="仿宋" w:hAnsi="仿宋" w:eastAsia="仿宋" w:cs="仿宋"/>
          <w:b/>
          <w:sz w:val="44"/>
          <w:szCs w:val="44"/>
        </w:rPr>
        <w:t>年预算支出</w:t>
      </w:r>
    </w:p>
    <w:p>
      <w:pPr>
        <w:jc w:val="center"/>
        <w:rPr>
          <w:rFonts w:hint="eastAsia" w:ascii="仿宋" w:hAnsi="仿宋" w:eastAsia="仿宋" w:cs="仿宋"/>
          <w:b/>
          <w:sz w:val="44"/>
          <w:szCs w:val="44"/>
        </w:rPr>
      </w:pPr>
      <w:r>
        <w:rPr>
          <w:rFonts w:hint="eastAsia" w:ascii="仿宋" w:hAnsi="仿宋" w:eastAsia="仿宋" w:cs="仿宋"/>
          <w:b/>
          <w:sz w:val="44"/>
          <w:szCs w:val="44"/>
        </w:rPr>
        <w:t>绩效评价</w:t>
      </w:r>
      <w:r>
        <w:rPr>
          <w:rFonts w:hint="eastAsia" w:ascii="仿宋" w:hAnsi="仿宋" w:eastAsia="仿宋" w:cs="仿宋"/>
          <w:b/>
          <w:sz w:val="44"/>
          <w:szCs w:val="44"/>
          <w:lang w:eastAsia="zh-CN"/>
        </w:rPr>
        <w:t>报</w:t>
      </w:r>
      <w:r>
        <w:rPr>
          <w:rFonts w:hint="eastAsia" w:ascii="仿宋" w:hAnsi="仿宋" w:eastAsia="仿宋" w:cs="仿宋"/>
          <w:b/>
          <w:sz w:val="44"/>
          <w:szCs w:val="44"/>
        </w:rPr>
        <w:t>告</w:t>
      </w:r>
    </w:p>
    <w:p>
      <w:pPr>
        <w:jc w:val="center"/>
        <w:rPr>
          <w:rFonts w:hint="eastAsia" w:ascii="仿宋" w:hAnsi="仿宋" w:eastAsia="仿宋" w:cs="仿宋"/>
          <w:sz w:val="28"/>
          <w:szCs w:val="28"/>
        </w:rPr>
      </w:pPr>
    </w:p>
    <w:p>
      <w:pPr>
        <w:ind w:firstLine="420" w:firstLineChars="150"/>
        <w:rPr>
          <w:rFonts w:hint="eastAsia" w:ascii="仿宋" w:hAnsi="仿宋" w:eastAsia="仿宋" w:cs="仿宋"/>
          <w:sz w:val="28"/>
          <w:szCs w:val="28"/>
        </w:rPr>
      </w:pPr>
      <w:r>
        <w:rPr>
          <w:rFonts w:hint="eastAsia" w:ascii="仿宋" w:hAnsi="仿宋" w:eastAsia="仿宋" w:cs="仿宋"/>
          <w:sz w:val="28"/>
          <w:szCs w:val="28"/>
        </w:rPr>
        <w:t>根据《湖南省预算绩效目标管理办法》（湘财绩【2013】29号）文件精神，为进一步推进预算绩效管理，完善公共财政体系，优化支出结构，提高预算编制的科学性和规定性，提高财政资金的使用效益，荫田镇人民政府组织本单位纪检、财务人员对荫田镇</w:t>
      </w:r>
      <w:r>
        <w:rPr>
          <w:rFonts w:hint="eastAsia" w:ascii="仿宋" w:hAnsi="仿宋" w:eastAsia="仿宋" w:cs="仿宋"/>
          <w:sz w:val="28"/>
          <w:szCs w:val="28"/>
          <w:lang w:val="en-US" w:eastAsia="zh-CN"/>
        </w:rPr>
        <w:t>2022</w:t>
      </w:r>
      <w:r>
        <w:rPr>
          <w:rFonts w:hint="eastAsia" w:ascii="仿宋" w:hAnsi="仿宋" w:eastAsia="仿宋" w:cs="仿宋"/>
          <w:sz w:val="28"/>
          <w:szCs w:val="28"/>
        </w:rPr>
        <w:t>年预算支出进行了认真的评估和总结，旨在通过自我绩效评价改善资金的使用效率，为今后更好地提升财政科学化精细化管理水平。</w:t>
      </w:r>
    </w:p>
    <w:p>
      <w:pPr>
        <w:ind w:firstLine="562" w:firstLineChars="200"/>
        <w:rPr>
          <w:rFonts w:hint="eastAsia" w:ascii="仿宋" w:hAnsi="仿宋" w:eastAsia="仿宋" w:cs="仿宋"/>
          <w:b/>
          <w:sz w:val="28"/>
          <w:szCs w:val="28"/>
        </w:rPr>
      </w:pPr>
      <w:r>
        <w:rPr>
          <w:rFonts w:hint="eastAsia" w:ascii="仿宋" w:hAnsi="仿宋" w:eastAsia="仿宋" w:cs="仿宋"/>
          <w:b/>
          <w:sz w:val="28"/>
          <w:szCs w:val="28"/>
        </w:rPr>
        <w:t>一、基本情况：</w:t>
      </w:r>
    </w:p>
    <w:p>
      <w:pPr>
        <w:ind w:firstLine="420" w:firstLineChars="150"/>
        <w:rPr>
          <w:rFonts w:hint="eastAsia" w:ascii="仿宋" w:hAnsi="仿宋" w:eastAsia="仿宋" w:cs="仿宋"/>
          <w:sz w:val="28"/>
          <w:szCs w:val="28"/>
        </w:rPr>
      </w:pPr>
      <w:r>
        <w:rPr>
          <w:rFonts w:hint="eastAsia" w:ascii="仿宋" w:hAnsi="仿宋" w:eastAsia="仿宋" w:cs="仿宋"/>
          <w:sz w:val="28"/>
          <w:szCs w:val="28"/>
        </w:rPr>
        <w:t>（一）部门职责</w:t>
      </w:r>
    </w:p>
    <w:p>
      <w:pPr>
        <w:ind w:firstLine="420" w:firstLineChars="150"/>
        <w:rPr>
          <w:rFonts w:hint="eastAsia" w:ascii="仿宋" w:hAnsi="仿宋" w:eastAsia="仿宋" w:cs="仿宋"/>
          <w:sz w:val="28"/>
          <w:szCs w:val="28"/>
        </w:rPr>
      </w:pPr>
      <w:r>
        <w:rPr>
          <w:rFonts w:hint="eastAsia" w:ascii="仿宋" w:hAnsi="仿宋" w:eastAsia="仿宋" w:cs="仿宋"/>
          <w:sz w:val="28"/>
          <w:szCs w:val="28"/>
        </w:rPr>
        <w:t>1、执行本级人民代表大会决议和上级行政机关的决定和命令，发布决定和命令；落实国家政策，严格依法行政。</w:t>
      </w:r>
    </w:p>
    <w:p>
      <w:pPr>
        <w:ind w:firstLine="420" w:firstLineChars="150"/>
        <w:rPr>
          <w:rFonts w:hint="eastAsia" w:ascii="仿宋" w:hAnsi="仿宋" w:eastAsia="仿宋" w:cs="仿宋"/>
          <w:sz w:val="28"/>
          <w:szCs w:val="28"/>
        </w:rPr>
      </w:pPr>
      <w:r>
        <w:rPr>
          <w:rFonts w:hint="eastAsia" w:ascii="仿宋" w:hAnsi="仿宋" w:eastAsia="仿宋" w:cs="仿宋"/>
          <w:sz w:val="28"/>
          <w:szCs w:val="28"/>
        </w:rPr>
        <w:t>2、宣传贯彻落实法律法规和党的各项方针政策，坚持依法行政，推进民主政治发展，促进村民自治，加强基层党组织和政权建设。</w:t>
      </w:r>
    </w:p>
    <w:p>
      <w:pPr>
        <w:ind w:firstLine="420" w:firstLineChars="150"/>
        <w:rPr>
          <w:rFonts w:hint="eastAsia" w:ascii="仿宋" w:hAnsi="仿宋" w:eastAsia="仿宋" w:cs="仿宋"/>
          <w:sz w:val="28"/>
          <w:szCs w:val="28"/>
        </w:rPr>
      </w:pPr>
      <w:r>
        <w:rPr>
          <w:rFonts w:hint="eastAsia" w:ascii="仿宋" w:hAnsi="仿宋" w:eastAsia="仿宋" w:cs="仿宋"/>
          <w:sz w:val="28"/>
          <w:szCs w:val="28"/>
        </w:rPr>
        <w:t>3、承担本镇农业、工业经济、第三产业的发展、安全生产、经济可持续发展等工作。负责为企业提供政策服务和营造发展环境等工作。</w:t>
      </w:r>
    </w:p>
    <w:p>
      <w:pPr>
        <w:ind w:firstLine="420" w:firstLineChars="150"/>
        <w:rPr>
          <w:rFonts w:hint="eastAsia" w:ascii="仿宋" w:hAnsi="仿宋" w:eastAsia="仿宋" w:cs="仿宋"/>
          <w:sz w:val="28"/>
          <w:szCs w:val="28"/>
        </w:rPr>
      </w:pPr>
      <w:r>
        <w:rPr>
          <w:rFonts w:hint="eastAsia" w:ascii="仿宋" w:hAnsi="仿宋" w:eastAsia="仿宋" w:cs="仿宋"/>
          <w:sz w:val="28"/>
          <w:szCs w:val="28"/>
        </w:rPr>
        <w:t>4、负责农业、农村能源等新技术、新品种的引进、试验、示范和推广，做好农业技术指导、培训和服务工作。负责农业土地承包及流转合同的签证、纠纷调解、仲裁、合同管理、农业产业化经营管理工作。</w:t>
      </w:r>
    </w:p>
    <w:p>
      <w:pPr>
        <w:ind w:firstLine="420" w:firstLineChars="150"/>
        <w:rPr>
          <w:rFonts w:hint="eastAsia" w:ascii="仿宋" w:hAnsi="仿宋" w:eastAsia="仿宋" w:cs="仿宋"/>
          <w:sz w:val="28"/>
          <w:szCs w:val="28"/>
        </w:rPr>
      </w:pPr>
      <w:r>
        <w:rPr>
          <w:rFonts w:hint="eastAsia" w:ascii="仿宋" w:hAnsi="仿宋" w:eastAsia="仿宋" w:cs="仿宋"/>
          <w:sz w:val="28"/>
          <w:szCs w:val="28"/>
        </w:rPr>
        <w:t>5、负责林业发展规划，技术服务。负责水土资源、水利工程保护和开发、管护。负责农业机械推广管理工作。</w:t>
      </w:r>
    </w:p>
    <w:p>
      <w:pPr>
        <w:ind w:firstLine="420" w:firstLineChars="150"/>
        <w:rPr>
          <w:rFonts w:hint="eastAsia" w:ascii="仿宋" w:hAnsi="仿宋" w:eastAsia="仿宋" w:cs="仿宋"/>
          <w:sz w:val="28"/>
          <w:szCs w:val="28"/>
        </w:rPr>
      </w:pPr>
      <w:r>
        <w:rPr>
          <w:rFonts w:hint="eastAsia" w:ascii="仿宋" w:hAnsi="仿宋" w:eastAsia="仿宋" w:cs="仿宋"/>
          <w:sz w:val="28"/>
          <w:szCs w:val="28"/>
        </w:rPr>
        <w:t>6、推动农村社会养老保险制度。配合劳动监察部门监督检查劳动保证法律、法规的实施。</w:t>
      </w:r>
    </w:p>
    <w:p>
      <w:pPr>
        <w:ind w:firstLine="420" w:firstLineChars="150"/>
        <w:rPr>
          <w:rFonts w:hint="eastAsia" w:ascii="仿宋" w:hAnsi="仿宋" w:eastAsia="仿宋" w:cs="仿宋"/>
          <w:sz w:val="28"/>
          <w:szCs w:val="28"/>
        </w:rPr>
      </w:pPr>
      <w:r>
        <w:rPr>
          <w:rFonts w:hint="eastAsia" w:ascii="仿宋" w:hAnsi="仿宋" w:eastAsia="仿宋" w:cs="仿宋"/>
          <w:sz w:val="28"/>
          <w:szCs w:val="28"/>
        </w:rPr>
        <w:t>7、落实计划生育基本国策，推进优生优育，加强农村计划生育奖扶政策的落实到位。</w:t>
      </w:r>
    </w:p>
    <w:p>
      <w:pPr>
        <w:ind w:firstLine="420" w:firstLineChars="150"/>
        <w:rPr>
          <w:rFonts w:hint="eastAsia" w:ascii="仿宋" w:hAnsi="仿宋" w:eastAsia="仿宋" w:cs="仿宋"/>
          <w:sz w:val="28"/>
          <w:szCs w:val="28"/>
        </w:rPr>
      </w:pPr>
      <w:r>
        <w:rPr>
          <w:rFonts w:hint="eastAsia" w:ascii="仿宋" w:hAnsi="仿宋" w:eastAsia="仿宋" w:cs="仿宋"/>
          <w:sz w:val="28"/>
          <w:szCs w:val="28"/>
        </w:rPr>
        <w:t>8、保障农村最低生活水平，建立健全社会保障体系。</w:t>
      </w:r>
    </w:p>
    <w:p>
      <w:pPr>
        <w:ind w:firstLine="420" w:firstLineChars="150"/>
        <w:rPr>
          <w:rFonts w:hint="eastAsia" w:ascii="仿宋" w:hAnsi="仿宋" w:eastAsia="仿宋" w:cs="仿宋"/>
          <w:sz w:val="28"/>
          <w:szCs w:val="28"/>
        </w:rPr>
      </w:pPr>
      <w:r>
        <w:rPr>
          <w:rFonts w:hint="eastAsia" w:ascii="仿宋" w:hAnsi="仿宋" w:eastAsia="仿宋" w:cs="仿宋"/>
          <w:sz w:val="28"/>
          <w:szCs w:val="28"/>
        </w:rPr>
        <w:t>9、负责农村医疗合作管理工作，负责对本镇的行政事业单位和村级财务实行统一管理、集中核算、全面监督。</w:t>
      </w:r>
    </w:p>
    <w:p>
      <w:pPr>
        <w:ind w:firstLine="420" w:firstLineChars="150"/>
        <w:rPr>
          <w:rFonts w:hint="eastAsia" w:ascii="仿宋" w:hAnsi="仿宋" w:eastAsia="仿宋" w:cs="仿宋"/>
          <w:sz w:val="28"/>
          <w:szCs w:val="28"/>
        </w:rPr>
      </w:pPr>
      <w:r>
        <w:rPr>
          <w:rFonts w:hint="eastAsia" w:ascii="仿宋" w:hAnsi="仿宋" w:eastAsia="仿宋" w:cs="仿宋"/>
          <w:sz w:val="28"/>
          <w:szCs w:val="28"/>
        </w:rPr>
        <w:t>10、负责繁荣群众文化事业，组织群众文化活动。</w:t>
      </w:r>
    </w:p>
    <w:p>
      <w:pPr>
        <w:ind w:firstLine="420" w:firstLineChars="150"/>
        <w:rPr>
          <w:rFonts w:hint="eastAsia" w:ascii="仿宋" w:hAnsi="仿宋" w:eastAsia="仿宋" w:cs="仿宋"/>
          <w:sz w:val="28"/>
          <w:szCs w:val="28"/>
        </w:rPr>
      </w:pPr>
      <w:r>
        <w:rPr>
          <w:rFonts w:hint="eastAsia" w:ascii="仿宋" w:hAnsi="仿宋" w:eastAsia="仿宋" w:cs="仿宋"/>
          <w:sz w:val="28"/>
          <w:szCs w:val="28"/>
        </w:rPr>
        <w:t>11、卫生同治、扶贫工作、绿化环保等上级交办的其他各项工作任务。</w:t>
      </w:r>
    </w:p>
    <w:p>
      <w:pPr>
        <w:ind w:firstLine="420" w:firstLineChars="150"/>
        <w:rPr>
          <w:rFonts w:hint="eastAsia" w:ascii="仿宋" w:hAnsi="仿宋" w:eastAsia="仿宋" w:cs="仿宋"/>
          <w:sz w:val="28"/>
          <w:szCs w:val="28"/>
        </w:rPr>
      </w:pPr>
      <w:r>
        <w:rPr>
          <w:rFonts w:hint="eastAsia" w:ascii="仿宋" w:hAnsi="仿宋" w:eastAsia="仿宋" w:cs="仿宋"/>
          <w:sz w:val="28"/>
          <w:szCs w:val="28"/>
        </w:rPr>
        <w:t xml:space="preserve">   （二）部门单位构成</w:t>
      </w:r>
    </w:p>
    <w:p>
      <w:pPr>
        <w:ind w:firstLine="420" w:firstLineChars="150"/>
        <w:rPr>
          <w:rFonts w:hint="eastAsia" w:ascii="仿宋" w:hAnsi="仿宋" w:eastAsia="仿宋" w:cs="仿宋"/>
          <w:sz w:val="28"/>
          <w:szCs w:val="28"/>
        </w:rPr>
      </w:pPr>
      <w:r>
        <w:rPr>
          <w:rFonts w:hint="eastAsia" w:ascii="仿宋" w:hAnsi="仿宋" w:eastAsia="仿宋" w:cs="仿宋"/>
          <w:sz w:val="28"/>
          <w:szCs w:val="28"/>
        </w:rPr>
        <w:t>根据编委核定，我镇设3个中心，1个执法队。镇机关行政编制</w:t>
      </w:r>
      <w:r>
        <w:rPr>
          <w:rFonts w:hint="eastAsia" w:ascii="仿宋" w:hAnsi="仿宋" w:eastAsia="仿宋" w:cs="仿宋"/>
          <w:sz w:val="28"/>
          <w:szCs w:val="28"/>
          <w:lang w:val="en-US" w:eastAsia="zh-CN"/>
        </w:rPr>
        <w:t>18</w:t>
      </w:r>
      <w:r>
        <w:rPr>
          <w:rFonts w:hint="eastAsia" w:ascii="仿宋" w:hAnsi="仿宋" w:eastAsia="仿宋" w:cs="仿宋"/>
          <w:sz w:val="28"/>
          <w:szCs w:val="28"/>
        </w:rPr>
        <w:t>名，机关事业编制</w:t>
      </w:r>
      <w:r>
        <w:rPr>
          <w:rFonts w:hint="eastAsia" w:ascii="仿宋" w:hAnsi="仿宋" w:eastAsia="仿宋" w:cs="仿宋"/>
          <w:sz w:val="28"/>
          <w:szCs w:val="28"/>
          <w:lang w:val="en-US" w:eastAsia="zh-CN"/>
        </w:rPr>
        <w:t>60</w:t>
      </w:r>
      <w:r>
        <w:rPr>
          <w:rFonts w:hint="eastAsia" w:ascii="仿宋" w:hAnsi="仿宋" w:eastAsia="仿宋" w:cs="仿宋"/>
          <w:sz w:val="28"/>
          <w:szCs w:val="28"/>
        </w:rPr>
        <w:t>名，年末在职人员</w:t>
      </w:r>
      <w:r>
        <w:rPr>
          <w:rFonts w:hint="eastAsia" w:ascii="仿宋" w:hAnsi="仿宋" w:eastAsia="仿宋" w:cs="仿宋"/>
          <w:sz w:val="28"/>
          <w:szCs w:val="28"/>
          <w:lang w:val="en-US" w:eastAsia="zh-CN"/>
        </w:rPr>
        <w:t>78</w:t>
      </w:r>
      <w:r>
        <w:rPr>
          <w:rFonts w:hint="eastAsia" w:ascii="仿宋" w:hAnsi="仿宋" w:eastAsia="仿宋" w:cs="仿宋"/>
          <w:sz w:val="28"/>
          <w:szCs w:val="28"/>
        </w:rPr>
        <w:t>人，实有在编公务用车1辆。</w:t>
      </w:r>
    </w:p>
    <w:p>
      <w:pPr>
        <w:ind w:firstLine="420" w:firstLineChars="150"/>
        <w:rPr>
          <w:rFonts w:hint="eastAsia" w:ascii="仿宋" w:hAnsi="仿宋" w:eastAsia="仿宋" w:cs="仿宋"/>
          <w:sz w:val="28"/>
          <w:szCs w:val="28"/>
        </w:rPr>
      </w:pPr>
      <w:r>
        <w:rPr>
          <w:rFonts w:hint="eastAsia" w:ascii="仿宋" w:hAnsi="仿宋" w:eastAsia="仿宋" w:cs="仿宋"/>
          <w:sz w:val="28"/>
          <w:szCs w:val="28"/>
        </w:rPr>
        <w:t>（三）部门收支情况</w:t>
      </w:r>
    </w:p>
    <w:p>
      <w:pPr>
        <w:ind w:firstLine="420" w:firstLineChars="150"/>
        <w:rPr>
          <w:rFonts w:hint="eastAsia" w:ascii="仿宋" w:hAnsi="仿宋" w:eastAsia="仿宋" w:cs="仿宋"/>
          <w:sz w:val="28"/>
          <w:szCs w:val="28"/>
        </w:rPr>
      </w:pPr>
      <w:r>
        <w:rPr>
          <w:rFonts w:hint="eastAsia" w:ascii="仿宋" w:hAnsi="仿宋" w:eastAsia="仿宋" w:cs="仿宋"/>
          <w:sz w:val="28"/>
          <w:szCs w:val="28"/>
        </w:rPr>
        <w:t xml:space="preserve"> 本单位</w:t>
      </w:r>
      <w:r>
        <w:rPr>
          <w:rFonts w:hint="eastAsia" w:ascii="仿宋" w:hAnsi="仿宋" w:eastAsia="仿宋" w:cs="仿宋"/>
          <w:sz w:val="28"/>
          <w:szCs w:val="28"/>
          <w:lang w:val="en-US" w:eastAsia="zh-CN"/>
        </w:rPr>
        <w:t>2022</w:t>
      </w:r>
      <w:r>
        <w:rPr>
          <w:rFonts w:hint="eastAsia" w:ascii="仿宋" w:hAnsi="仿宋" w:eastAsia="仿宋" w:cs="仿宋"/>
          <w:sz w:val="28"/>
          <w:szCs w:val="28"/>
        </w:rPr>
        <w:t>年度收入总计</w:t>
      </w:r>
      <w:r>
        <w:rPr>
          <w:rFonts w:hint="eastAsia" w:ascii="仿宋" w:hAnsi="仿宋" w:eastAsia="仿宋" w:cs="仿宋"/>
          <w:sz w:val="28"/>
          <w:szCs w:val="28"/>
          <w:lang w:val="en-US" w:eastAsia="zh-CN"/>
        </w:rPr>
        <w:t>1809.48</w:t>
      </w:r>
      <w:r>
        <w:rPr>
          <w:rFonts w:hint="eastAsia" w:ascii="仿宋" w:hAnsi="仿宋" w:eastAsia="仿宋" w:cs="仿宋"/>
          <w:sz w:val="28"/>
          <w:szCs w:val="28"/>
        </w:rPr>
        <w:t>万元，其中财政拨款收入</w:t>
      </w:r>
      <w:r>
        <w:rPr>
          <w:rFonts w:hint="eastAsia" w:ascii="仿宋" w:hAnsi="仿宋" w:eastAsia="仿宋" w:cs="仿宋"/>
          <w:sz w:val="28"/>
          <w:szCs w:val="28"/>
          <w:lang w:val="en-US" w:eastAsia="zh-CN"/>
        </w:rPr>
        <w:t>1799.48</w:t>
      </w:r>
      <w:r>
        <w:rPr>
          <w:rFonts w:hint="eastAsia" w:ascii="仿宋" w:hAnsi="仿宋" w:eastAsia="仿宋" w:cs="仿宋"/>
          <w:sz w:val="28"/>
          <w:szCs w:val="28"/>
        </w:rPr>
        <w:t>万元，其他收入0万，其他政府性基金收入</w:t>
      </w:r>
      <w:r>
        <w:rPr>
          <w:rFonts w:hint="eastAsia" w:ascii="仿宋" w:hAnsi="仿宋" w:eastAsia="仿宋" w:cs="仿宋"/>
          <w:sz w:val="28"/>
          <w:szCs w:val="28"/>
          <w:lang w:val="en-US" w:eastAsia="zh-CN"/>
        </w:rPr>
        <w:t>10</w:t>
      </w:r>
      <w:r>
        <w:rPr>
          <w:rFonts w:hint="eastAsia" w:ascii="仿宋" w:hAnsi="仿宋" w:eastAsia="仿宋" w:cs="仿宋"/>
          <w:sz w:val="28"/>
          <w:szCs w:val="28"/>
        </w:rPr>
        <w:t>万元。全年总支出</w:t>
      </w:r>
      <w:r>
        <w:rPr>
          <w:rFonts w:hint="eastAsia" w:ascii="仿宋" w:hAnsi="仿宋" w:eastAsia="仿宋" w:cs="仿宋"/>
          <w:sz w:val="28"/>
          <w:szCs w:val="28"/>
          <w:lang w:val="en-US" w:eastAsia="zh-CN"/>
        </w:rPr>
        <w:t>1809.48</w:t>
      </w:r>
      <w:r>
        <w:rPr>
          <w:rFonts w:hint="eastAsia" w:ascii="仿宋" w:hAnsi="仿宋" w:eastAsia="仿宋" w:cs="仿宋"/>
          <w:sz w:val="28"/>
          <w:szCs w:val="28"/>
        </w:rPr>
        <w:t>万元（其中基本支出为</w:t>
      </w:r>
      <w:r>
        <w:rPr>
          <w:rFonts w:hint="eastAsia" w:ascii="仿宋" w:hAnsi="仿宋" w:eastAsia="仿宋" w:cs="仿宋"/>
          <w:sz w:val="28"/>
          <w:szCs w:val="28"/>
          <w:lang w:val="en-US" w:eastAsia="zh-CN"/>
        </w:rPr>
        <w:t>908.04</w:t>
      </w:r>
      <w:r>
        <w:rPr>
          <w:rFonts w:hint="eastAsia" w:ascii="仿宋" w:hAnsi="仿宋" w:eastAsia="仿宋" w:cs="仿宋"/>
          <w:sz w:val="28"/>
          <w:szCs w:val="28"/>
        </w:rPr>
        <w:t>万元，工资福利支出</w:t>
      </w:r>
      <w:r>
        <w:rPr>
          <w:rFonts w:hint="eastAsia" w:ascii="仿宋" w:hAnsi="仿宋" w:eastAsia="仿宋" w:cs="仿宋"/>
          <w:sz w:val="28"/>
          <w:szCs w:val="28"/>
          <w:lang w:val="en-US" w:eastAsia="zh-CN"/>
        </w:rPr>
        <w:t>809.54</w:t>
      </w:r>
      <w:r>
        <w:rPr>
          <w:rFonts w:hint="eastAsia" w:ascii="仿宋" w:hAnsi="仿宋" w:eastAsia="仿宋" w:cs="仿宋"/>
          <w:sz w:val="28"/>
          <w:szCs w:val="28"/>
        </w:rPr>
        <w:t>万元，商品和服务支出</w:t>
      </w:r>
      <w:r>
        <w:rPr>
          <w:rFonts w:hint="eastAsia" w:ascii="仿宋" w:hAnsi="仿宋" w:eastAsia="仿宋" w:cs="仿宋"/>
          <w:sz w:val="28"/>
          <w:szCs w:val="28"/>
          <w:lang w:val="en-US" w:eastAsia="zh-CN"/>
        </w:rPr>
        <w:t>79.52</w:t>
      </w:r>
      <w:r>
        <w:rPr>
          <w:rFonts w:hint="eastAsia" w:ascii="仿宋" w:hAnsi="仿宋" w:eastAsia="仿宋" w:cs="仿宋"/>
          <w:sz w:val="28"/>
          <w:szCs w:val="28"/>
        </w:rPr>
        <w:t>万元；对个人和家庭的补助</w:t>
      </w:r>
      <w:r>
        <w:rPr>
          <w:rFonts w:hint="eastAsia" w:ascii="仿宋" w:hAnsi="仿宋" w:eastAsia="仿宋" w:cs="仿宋"/>
          <w:sz w:val="28"/>
          <w:szCs w:val="28"/>
          <w:lang w:val="en-US" w:eastAsia="zh-CN"/>
        </w:rPr>
        <w:t>18.98</w:t>
      </w:r>
      <w:r>
        <w:rPr>
          <w:rFonts w:hint="eastAsia" w:ascii="仿宋" w:hAnsi="仿宋" w:eastAsia="仿宋" w:cs="仿宋"/>
          <w:sz w:val="28"/>
          <w:szCs w:val="28"/>
        </w:rPr>
        <w:t>万元;</w:t>
      </w:r>
      <w:r>
        <w:rPr>
          <w:rFonts w:hint="eastAsia" w:ascii="仿宋" w:hAnsi="仿宋" w:eastAsia="仿宋" w:cs="仿宋"/>
          <w:sz w:val="28"/>
          <w:szCs w:val="28"/>
          <w:highlight w:val="none"/>
        </w:rPr>
        <w:t>其中项目支出</w:t>
      </w:r>
      <w:r>
        <w:rPr>
          <w:rFonts w:hint="eastAsia" w:ascii="仿宋" w:hAnsi="仿宋" w:eastAsia="仿宋" w:cs="仿宋"/>
          <w:sz w:val="28"/>
          <w:szCs w:val="28"/>
          <w:highlight w:val="none"/>
          <w:lang w:val="en-US" w:eastAsia="zh-CN"/>
        </w:rPr>
        <w:t>901.44</w:t>
      </w:r>
      <w:r>
        <w:rPr>
          <w:rFonts w:hint="eastAsia" w:ascii="仿宋" w:hAnsi="仿宋" w:eastAsia="仿宋" w:cs="仿宋"/>
          <w:sz w:val="28"/>
          <w:szCs w:val="28"/>
          <w:highlight w:val="none"/>
        </w:rPr>
        <w:t>万元）</w:t>
      </w:r>
      <w:r>
        <w:rPr>
          <w:rFonts w:hint="eastAsia" w:ascii="仿宋" w:hAnsi="仿宋" w:eastAsia="仿宋" w:cs="仿宋"/>
          <w:sz w:val="28"/>
          <w:szCs w:val="28"/>
        </w:rPr>
        <w:t>。</w:t>
      </w:r>
    </w:p>
    <w:p>
      <w:pPr>
        <w:ind w:firstLine="420" w:firstLineChars="150"/>
        <w:rPr>
          <w:rFonts w:hint="eastAsia" w:ascii="仿宋" w:hAnsi="仿宋" w:eastAsia="仿宋" w:cs="仿宋"/>
          <w:sz w:val="28"/>
          <w:szCs w:val="28"/>
        </w:rPr>
      </w:pPr>
      <w:r>
        <w:rPr>
          <w:rFonts w:hint="eastAsia" w:ascii="仿宋" w:hAnsi="仿宋" w:eastAsia="仿宋" w:cs="仿宋"/>
          <w:sz w:val="28"/>
          <w:szCs w:val="28"/>
        </w:rPr>
        <w:t>部门绩效目标</w:t>
      </w:r>
    </w:p>
    <w:p>
      <w:pPr>
        <w:ind w:firstLine="420" w:firstLineChars="150"/>
        <w:rPr>
          <w:rFonts w:hint="eastAsia" w:ascii="仿宋" w:hAnsi="仿宋" w:eastAsia="仿宋" w:cs="仿宋"/>
          <w:sz w:val="28"/>
          <w:szCs w:val="28"/>
        </w:rPr>
      </w:pPr>
      <w:r>
        <w:rPr>
          <w:rFonts w:hint="eastAsia" w:ascii="仿宋" w:hAnsi="仿宋" w:eastAsia="仿宋" w:cs="仿宋"/>
          <w:sz w:val="28"/>
          <w:szCs w:val="28"/>
        </w:rPr>
        <w:t>按照上级要求，</w:t>
      </w:r>
      <w:r>
        <w:rPr>
          <w:rFonts w:hint="eastAsia" w:ascii="仿宋" w:hAnsi="仿宋" w:eastAsia="仿宋" w:cs="仿宋"/>
          <w:sz w:val="28"/>
          <w:szCs w:val="28"/>
          <w:lang w:val="en-US" w:eastAsia="zh-CN"/>
        </w:rPr>
        <w:t>2022</w:t>
      </w:r>
      <w:r>
        <w:rPr>
          <w:rFonts w:hint="eastAsia" w:ascii="仿宋" w:hAnsi="仿宋" w:eastAsia="仿宋" w:cs="仿宋"/>
          <w:sz w:val="28"/>
          <w:szCs w:val="28"/>
        </w:rPr>
        <w:t>年我镇在本级政府网上进行了预决算公开。严控“三公经费”支出，取得了良好的效果，</w:t>
      </w:r>
      <w:r>
        <w:rPr>
          <w:rFonts w:hint="eastAsia" w:ascii="仿宋" w:hAnsi="仿宋" w:eastAsia="仿宋" w:cs="仿宋"/>
          <w:sz w:val="28"/>
          <w:szCs w:val="28"/>
          <w:lang w:val="en-US" w:eastAsia="zh-CN"/>
        </w:rPr>
        <w:t>2022</w:t>
      </w:r>
      <w:r>
        <w:rPr>
          <w:rFonts w:hint="eastAsia" w:ascii="仿宋" w:hAnsi="仿宋" w:eastAsia="仿宋" w:cs="仿宋"/>
          <w:sz w:val="28"/>
          <w:szCs w:val="28"/>
        </w:rPr>
        <w:t>年度，我镇“三公”经费支出合计</w:t>
      </w:r>
      <w:r>
        <w:rPr>
          <w:rFonts w:hint="eastAsia" w:ascii="仿宋" w:hAnsi="仿宋" w:eastAsia="仿宋" w:cs="仿宋"/>
          <w:sz w:val="28"/>
          <w:szCs w:val="28"/>
          <w:lang w:val="en-US" w:eastAsia="zh-CN"/>
        </w:rPr>
        <w:t>10.7</w:t>
      </w:r>
      <w:r>
        <w:rPr>
          <w:rFonts w:hint="eastAsia" w:ascii="仿宋" w:hAnsi="仿宋" w:eastAsia="仿宋" w:cs="仿宋"/>
          <w:sz w:val="28"/>
          <w:szCs w:val="28"/>
        </w:rPr>
        <w:t>万元，其中因公出国（境）费用0万元，公务用车运行维护费</w:t>
      </w:r>
      <w:r>
        <w:rPr>
          <w:rFonts w:hint="eastAsia" w:ascii="仿宋" w:hAnsi="仿宋" w:eastAsia="仿宋" w:cs="仿宋"/>
          <w:sz w:val="28"/>
          <w:szCs w:val="28"/>
          <w:lang w:val="en-US" w:eastAsia="zh-CN"/>
        </w:rPr>
        <w:t>1.2</w:t>
      </w:r>
      <w:r>
        <w:rPr>
          <w:rFonts w:hint="eastAsia" w:ascii="仿宋" w:hAnsi="仿宋" w:eastAsia="仿宋" w:cs="仿宋"/>
          <w:sz w:val="28"/>
          <w:szCs w:val="28"/>
        </w:rPr>
        <w:t>万元，公务接待费</w:t>
      </w:r>
      <w:r>
        <w:rPr>
          <w:rFonts w:hint="eastAsia" w:ascii="仿宋" w:hAnsi="仿宋" w:eastAsia="仿宋" w:cs="仿宋"/>
          <w:sz w:val="28"/>
          <w:szCs w:val="28"/>
          <w:lang w:val="en-US" w:eastAsia="zh-CN"/>
        </w:rPr>
        <w:t>9.5</w:t>
      </w:r>
      <w:r>
        <w:rPr>
          <w:rFonts w:hint="eastAsia" w:ascii="仿宋" w:hAnsi="仿宋" w:eastAsia="仿宋" w:cs="仿宋"/>
          <w:sz w:val="28"/>
          <w:szCs w:val="28"/>
        </w:rPr>
        <w:t>万元，国内公务接待批次2</w:t>
      </w:r>
      <w:r>
        <w:rPr>
          <w:rFonts w:hint="eastAsia" w:ascii="仿宋" w:hAnsi="仿宋" w:eastAsia="仿宋" w:cs="仿宋"/>
          <w:sz w:val="28"/>
          <w:szCs w:val="28"/>
          <w:lang w:val="en-US" w:eastAsia="zh-CN"/>
        </w:rPr>
        <w:t>81</w:t>
      </w:r>
      <w:r>
        <w:rPr>
          <w:rFonts w:hint="eastAsia" w:ascii="仿宋" w:hAnsi="仿宋" w:eastAsia="仿宋" w:cs="仿宋"/>
          <w:sz w:val="28"/>
          <w:szCs w:val="28"/>
        </w:rPr>
        <w:t>次，公务接待人次</w:t>
      </w:r>
      <w:r>
        <w:rPr>
          <w:rFonts w:hint="eastAsia" w:ascii="仿宋" w:hAnsi="仿宋" w:eastAsia="仿宋" w:cs="仿宋"/>
          <w:sz w:val="28"/>
          <w:szCs w:val="28"/>
          <w:lang w:val="en-US" w:eastAsia="zh-CN"/>
        </w:rPr>
        <w:t>3600</w:t>
      </w:r>
      <w:r>
        <w:rPr>
          <w:rFonts w:hint="eastAsia" w:ascii="仿宋" w:hAnsi="仿宋" w:eastAsia="仿宋" w:cs="仿宋"/>
          <w:sz w:val="28"/>
          <w:szCs w:val="28"/>
        </w:rPr>
        <w:t>人。</w:t>
      </w:r>
    </w:p>
    <w:p>
      <w:pPr>
        <w:ind w:firstLine="420" w:firstLineChars="150"/>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val="en-US" w:eastAsia="zh-CN"/>
        </w:rPr>
        <w:t>2022</w:t>
      </w:r>
      <w:r>
        <w:rPr>
          <w:rFonts w:hint="eastAsia" w:ascii="仿宋" w:hAnsi="仿宋" w:eastAsia="仿宋" w:cs="仿宋"/>
          <w:sz w:val="28"/>
          <w:szCs w:val="28"/>
        </w:rPr>
        <w:t>年机关运行经费决算情况</w:t>
      </w:r>
    </w:p>
    <w:p>
      <w:pPr>
        <w:ind w:firstLine="420" w:firstLineChars="150"/>
        <w:rPr>
          <w:rFonts w:hint="eastAsia" w:ascii="仿宋" w:hAnsi="仿宋" w:eastAsia="仿宋" w:cs="仿宋"/>
          <w:sz w:val="28"/>
          <w:szCs w:val="28"/>
        </w:rPr>
      </w:pPr>
      <w:r>
        <w:rPr>
          <w:rFonts w:hint="eastAsia" w:ascii="仿宋" w:hAnsi="仿宋" w:eastAsia="仿宋" w:cs="仿宋"/>
          <w:sz w:val="28"/>
          <w:szCs w:val="28"/>
          <w:lang w:val="en-US" w:eastAsia="zh-CN"/>
        </w:rPr>
        <w:t>2022</w:t>
      </w:r>
      <w:r>
        <w:rPr>
          <w:rFonts w:hint="eastAsia" w:ascii="仿宋" w:hAnsi="仿宋" w:eastAsia="仿宋" w:cs="仿宋"/>
          <w:sz w:val="28"/>
          <w:szCs w:val="28"/>
        </w:rPr>
        <w:t>年度，机关运行经费合计</w:t>
      </w:r>
      <w:r>
        <w:rPr>
          <w:rFonts w:hint="eastAsia" w:ascii="仿宋" w:hAnsi="仿宋" w:eastAsia="仿宋" w:cs="仿宋"/>
          <w:sz w:val="28"/>
          <w:szCs w:val="28"/>
          <w:lang w:val="en-US" w:eastAsia="zh-CN"/>
        </w:rPr>
        <w:t>79.52</w:t>
      </w:r>
      <w:r>
        <w:rPr>
          <w:rFonts w:hint="eastAsia" w:ascii="仿宋" w:hAnsi="仿宋" w:eastAsia="仿宋" w:cs="仿宋"/>
          <w:sz w:val="28"/>
          <w:szCs w:val="28"/>
        </w:rPr>
        <w:t>万元，其中：公务接待费</w:t>
      </w:r>
      <w:r>
        <w:rPr>
          <w:rFonts w:hint="eastAsia" w:ascii="仿宋" w:hAnsi="仿宋" w:eastAsia="仿宋" w:cs="仿宋"/>
          <w:sz w:val="28"/>
          <w:szCs w:val="28"/>
          <w:lang w:val="en-US" w:eastAsia="zh-CN"/>
        </w:rPr>
        <w:t>9.5</w:t>
      </w:r>
      <w:r>
        <w:rPr>
          <w:rFonts w:hint="eastAsia" w:ascii="仿宋" w:hAnsi="仿宋" w:eastAsia="仿宋" w:cs="仿宋"/>
          <w:sz w:val="28"/>
          <w:szCs w:val="28"/>
        </w:rPr>
        <w:t>万元、公务用车运行费</w:t>
      </w:r>
      <w:r>
        <w:rPr>
          <w:rFonts w:hint="eastAsia" w:ascii="仿宋" w:hAnsi="仿宋" w:eastAsia="仿宋" w:cs="仿宋"/>
          <w:sz w:val="28"/>
          <w:szCs w:val="28"/>
          <w:lang w:val="en-US" w:eastAsia="zh-CN"/>
        </w:rPr>
        <w:t>1.2</w:t>
      </w:r>
      <w:r>
        <w:rPr>
          <w:rFonts w:hint="eastAsia" w:ascii="仿宋" w:hAnsi="仿宋" w:eastAsia="仿宋" w:cs="仿宋"/>
          <w:sz w:val="28"/>
          <w:szCs w:val="28"/>
        </w:rPr>
        <w:t>万元.较</w:t>
      </w:r>
      <w:r>
        <w:rPr>
          <w:rFonts w:hint="eastAsia" w:ascii="仿宋" w:hAnsi="仿宋" w:eastAsia="仿宋" w:cs="仿宋"/>
          <w:sz w:val="28"/>
          <w:szCs w:val="28"/>
          <w:lang w:eastAsia="zh-CN"/>
        </w:rPr>
        <w:t>202</w:t>
      </w:r>
      <w:r>
        <w:rPr>
          <w:rFonts w:hint="eastAsia" w:ascii="仿宋" w:hAnsi="仿宋" w:eastAsia="仿宋" w:cs="仿宋"/>
          <w:sz w:val="28"/>
          <w:szCs w:val="28"/>
          <w:lang w:val="en-US" w:eastAsia="zh-CN"/>
        </w:rPr>
        <w:t>1</w:t>
      </w:r>
      <w:r>
        <w:rPr>
          <w:rFonts w:hint="eastAsia" w:ascii="仿宋" w:hAnsi="仿宋" w:eastAsia="仿宋" w:cs="仿宋"/>
          <w:sz w:val="28"/>
          <w:szCs w:val="28"/>
        </w:rPr>
        <w:t>年机关运行经费合计</w:t>
      </w:r>
      <w:r>
        <w:rPr>
          <w:rFonts w:hint="eastAsia" w:ascii="仿宋" w:hAnsi="仿宋" w:eastAsia="仿宋" w:cs="仿宋"/>
          <w:sz w:val="28"/>
          <w:szCs w:val="28"/>
          <w:lang w:val="en-US" w:eastAsia="zh-CN"/>
        </w:rPr>
        <w:t>92.39</w:t>
      </w:r>
      <w:r>
        <w:rPr>
          <w:rFonts w:hint="eastAsia" w:ascii="仿宋" w:hAnsi="仿宋" w:eastAsia="仿宋" w:cs="仿宋"/>
          <w:sz w:val="28"/>
          <w:szCs w:val="28"/>
        </w:rPr>
        <w:t>元</w:t>
      </w:r>
      <w:r>
        <w:rPr>
          <w:rFonts w:hint="eastAsia" w:ascii="仿宋" w:hAnsi="仿宋" w:eastAsia="仿宋" w:cs="仿宋"/>
          <w:sz w:val="28"/>
          <w:szCs w:val="28"/>
          <w:lang w:val="en-US" w:eastAsia="zh-CN"/>
        </w:rPr>
        <w:t>减少12.87</w:t>
      </w:r>
      <w:r>
        <w:rPr>
          <w:rFonts w:hint="eastAsia" w:ascii="仿宋" w:hAnsi="仿宋" w:eastAsia="仿宋" w:cs="仿宋"/>
          <w:sz w:val="28"/>
          <w:szCs w:val="28"/>
        </w:rPr>
        <w:t>万元，其中招待费较</w:t>
      </w:r>
      <w:r>
        <w:rPr>
          <w:rFonts w:hint="eastAsia" w:ascii="仿宋" w:hAnsi="仿宋" w:eastAsia="仿宋" w:cs="仿宋"/>
          <w:sz w:val="28"/>
          <w:szCs w:val="28"/>
          <w:lang w:val="en-US" w:eastAsia="zh-CN"/>
        </w:rPr>
        <w:t>2021</w:t>
      </w:r>
      <w:r>
        <w:rPr>
          <w:rFonts w:hint="eastAsia" w:ascii="仿宋" w:hAnsi="仿宋" w:eastAsia="仿宋" w:cs="仿宋"/>
          <w:sz w:val="28"/>
          <w:szCs w:val="28"/>
        </w:rPr>
        <w:t>年</w:t>
      </w:r>
      <w:r>
        <w:rPr>
          <w:rFonts w:hint="eastAsia" w:ascii="仿宋" w:hAnsi="仿宋" w:eastAsia="仿宋" w:cs="仿宋"/>
          <w:sz w:val="28"/>
          <w:szCs w:val="28"/>
          <w:lang w:val="en-US" w:eastAsia="zh-CN"/>
        </w:rPr>
        <w:t>9.5</w:t>
      </w:r>
      <w:r>
        <w:rPr>
          <w:rFonts w:hint="eastAsia" w:ascii="仿宋" w:hAnsi="仿宋" w:eastAsia="仿宋" w:cs="仿宋"/>
          <w:sz w:val="28"/>
          <w:szCs w:val="28"/>
        </w:rPr>
        <w:t>万元基本持平，</w:t>
      </w:r>
      <w:r>
        <w:rPr>
          <w:rFonts w:hint="eastAsia" w:ascii="仿宋" w:hAnsi="仿宋" w:eastAsia="仿宋" w:cs="仿宋"/>
          <w:sz w:val="28"/>
          <w:szCs w:val="28"/>
          <w:lang w:eastAsia="zh-CN"/>
        </w:rPr>
        <w:t>公务用车运行</w:t>
      </w:r>
      <w:r>
        <w:rPr>
          <w:rFonts w:hint="eastAsia" w:ascii="仿宋" w:hAnsi="仿宋" w:eastAsia="仿宋" w:cs="仿宋"/>
          <w:sz w:val="28"/>
          <w:szCs w:val="28"/>
        </w:rPr>
        <w:t>费</w:t>
      </w:r>
      <w:r>
        <w:rPr>
          <w:rFonts w:hint="eastAsia" w:ascii="仿宋" w:hAnsi="仿宋" w:eastAsia="仿宋" w:cs="仿宋"/>
          <w:sz w:val="28"/>
          <w:szCs w:val="28"/>
          <w:lang w:eastAsia="zh-CN"/>
        </w:rPr>
        <w:t>较</w:t>
      </w:r>
      <w:r>
        <w:rPr>
          <w:rFonts w:hint="eastAsia" w:ascii="仿宋" w:hAnsi="仿宋" w:eastAsia="仿宋" w:cs="仿宋"/>
          <w:sz w:val="28"/>
          <w:szCs w:val="28"/>
          <w:lang w:val="en-US" w:eastAsia="zh-CN"/>
        </w:rPr>
        <w:t>2020</w:t>
      </w:r>
      <w:r>
        <w:rPr>
          <w:rFonts w:hint="eastAsia" w:ascii="仿宋" w:hAnsi="仿宋" w:eastAsia="仿宋" w:cs="仿宋"/>
          <w:sz w:val="28"/>
          <w:szCs w:val="28"/>
        </w:rPr>
        <w:t>年2.4万元</w:t>
      </w:r>
      <w:r>
        <w:rPr>
          <w:rFonts w:hint="eastAsia" w:ascii="仿宋" w:hAnsi="仿宋" w:eastAsia="仿宋" w:cs="仿宋"/>
          <w:sz w:val="28"/>
          <w:szCs w:val="28"/>
          <w:lang w:val="en-US" w:eastAsia="zh-CN"/>
        </w:rPr>
        <w:t>减少1.2万元</w:t>
      </w:r>
      <w:r>
        <w:rPr>
          <w:rFonts w:hint="eastAsia" w:ascii="仿宋" w:hAnsi="仿宋" w:eastAsia="仿宋" w:cs="仿宋"/>
          <w:sz w:val="28"/>
          <w:szCs w:val="28"/>
        </w:rPr>
        <w:t xml:space="preserve">。  </w:t>
      </w:r>
    </w:p>
    <w:p>
      <w:pPr>
        <w:ind w:firstLine="420" w:firstLineChars="150"/>
        <w:rPr>
          <w:rFonts w:hint="eastAsia" w:ascii="仿宋" w:hAnsi="仿宋" w:eastAsia="仿宋" w:cs="仿宋"/>
          <w:sz w:val="28"/>
          <w:szCs w:val="28"/>
        </w:rPr>
      </w:pPr>
      <w:r>
        <w:rPr>
          <w:rFonts w:hint="eastAsia" w:ascii="仿宋" w:hAnsi="仿宋" w:eastAsia="仿宋" w:cs="仿宋"/>
          <w:sz w:val="28"/>
          <w:szCs w:val="28"/>
        </w:rPr>
        <w:t>2、机关运行经费的控制，主要是政府领导非常重视，严格控制非生产性开支，研究制订了《镇财务管理制度》，对招待费、会议费、交通费、公务费、培训费等各项非生产性开支进行了严格的规定，用制度来管事，其中主要严格控制了因公务活动下乡租车费用，节约开支。</w:t>
      </w:r>
    </w:p>
    <w:p>
      <w:pPr>
        <w:ind w:firstLine="420" w:firstLineChars="150"/>
        <w:rPr>
          <w:rFonts w:hint="eastAsia" w:ascii="仿宋" w:hAnsi="仿宋" w:eastAsia="仿宋" w:cs="仿宋"/>
          <w:sz w:val="28"/>
          <w:szCs w:val="28"/>
        </w:rPr>
      </w:pPr>
      <w:r>
        <w:rPr>
          <w:rFonts w:hint="eastAsia" w:ascii="仿宋" w:hAnsi="仿宋" w:eastAsia="仿宋" w:cs="仿宋"/>
          <w:sz w:val="28"/>
          <w:szCs w:val="28"/>
        </w:rPr>
        <w:t>三公经费基本持平主要是我镇加强三公经费管理，并对车辆维修、加油、保险严控管理，规范公务接待管理，实行归口统一管理，先审批后安排。</w:t>
      </w:r>
    </w:p>
    <w:p>
      <w:pPr>
        <w:ind w:firstLine="420" w:firstLineChars="150"/>
        <w:rPr>
          <w:rFonts w:hint="eastAsia" w:ascii="仿宋" w:hAnsi="仿宋" w:eastAsia="仿宋" w:cs="仿宋"/>
          <w:sz w:val="28"/>
          <w:szCs w:val="28"/>
        </w:rPr>
      </w:pPr>
      <w:r>
        <w:rPr>
          <w:rFonts w:hint="eastAsia" w:ascii="仿宋" w:hAnsi="仿宋" w:eastAsia="仿宋" w:cs="仿宋"/>
          <w:sz w:val="28"/>
          <w:szCs w:val="28"/>
          <w:lang w:val="en-US" w:eastAsia="zh-CN"/>
        </w:rPr>
        <w:t>2022</w:t>
      </w:r>
      <w:r>
        <w:rPr>
          <w:rFonts w:hint="eastAsia" w:ascii="仿宋" w:hAnsi="仿宋" w:eastAsia="仿宋" w:cs="仿宋"/>
          <w:sz w:val="28"/>
          <w:szCs w:val="28"/>
        </w:rPr>
        <w:t>年，根据年初计划的重点工作，本单位通过对财政资金的使用，取得了如下绩效：</w:t>
      </w:r>
    </w:p>
    <w:p>
      <w:pPr>
        <w:pStyle w:val="5"/>
        <w:keepNext w:val="0"/>
        <w:keepLines w:val="0"/>
        <w:pageBreakBefore w:val="0"/>
        <w:kinsoku/>
        <w:wordWrap/>
        <w:overflowPunct/>
        <w:topLinePunct w:val="0"/>
        <w:autoSpaceDE/>
        <w:autoSpaceDN/>
        <w:bidi w:val="0"/>
        <w:adjustRightInd/>
        <w:snapToGrid/>
        <w:spacing w:before="0" w:beforeAutospacing="0" w:after="0" w:afterAutospacing="0" w:line="580" w:lineRule="exact"/>
        <w:ind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2022年以来，荫田镇党委、政府在市委、市政府的正确领导下，认真贯彻落实新发展理念，立足镇情，真抓实干，实现了全镇经济和社会各项事业持续健康发展，现将我镇2022年度工作完成情况汇报如下：</w:t>
      </w:r>
    </w:p>
    <w:p>
      <w:pPr>
        <w:pStyle w:val="5"/>
        <w:keepNext w:val="0"/>
        <w:keepLines w:val="0"/>
        <w:pageBreakBefore w:val="0"/>
        <w:kinsoku/>
        <w:wordWrap/>
        <w:overflowPunct/>
        <w:topLinePunct w:val="0"/>
        <w:autoSpaceDE/>
        <w:autoSpaceDN/>
        <w:bidi w:val="0"/>
        <w:adjustRightInd/>
        <w:snapToGrid/>
        <w:spacing w:before="0" w:beforeAutospacing="0" w:after="0" w:afterAutospacing="0" w:line="580" w:lineRule="exact"/>
        <w:ind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一、2022年度工作情况 </w:t>
      </w:r>
    </w:p>
    <w:p>
      <w:pPr>
        <w:pStyle w:val="5"/>
        <w:keepNext w:val="0"/>
        <w:keepLines w:val="0"/>
        <w:pageBreakBefore w:val="0"/>
        <w:kinsoku/>
        <w:wordWrap/>
        <w:overflowPunct/>
        <w:topLinePunct w:val="0"/>
        <w:autoSpaceDE/>
        <w:autoSpaceDN/>
        <w:bidi w:val="0"/>
        <w:adjustRightInd/>
        <w:snapToGrid/>
        <w:spacing w:before="0" w:beforeAutospacing="0" w:after="0" w:afterAutospacing="0" w:line="580" w:lineRule="exact"/>
        <w:ind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（一）党的建设方面</w:t>
      </w:r>
    </w:p>
    <w:p>
      <w:pPr>
        <w:pStyle w:val="5"/>
        <w:keepNext w:val="0"/>
        <w:keepLines w:val="0"/>
        <w:pageBreakBefore w:val="0"/>
        <w:kinsoku/>
        <w:wordWrap/>
        <w:overflowPunct/>
        <w:topLinePunct w:val="0"/>
        <w:autoSpaceDE/>
        <w:autoSpaceDN/>
        <w:bidi w:val="0"/>
        <w:adjustRightInd/>
        <w:snapToGrid/>
        <w:spacing w:before="0" w:beforeAutospacing="0" w:after="0" w:afterAutospacing="0" w:line="580" w:lineRule="exact"/>
        <w:ind w:firstLine="560" w:firstLineChars="200"/>
        <w:jc w:val="both"/>
        <w:textAlignment w:val="auto"/>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1、基层党建</w:t>
      </w:r>
      <w:bookmarkStart w:id="1" w:name="_GoBack"/>
      <w:bookmarkEnd w:id="1"/>
      <w:r>
        <w:rPr>
          <w:rFonts w:hint="eastAsia" w:ascii="仿宋" w:hAnsi="仿宋" w:eastAsia="仿宋" w:cs="仿宋"/>
          <w:kern w:val="2"/>
          <w:sz w:val="28"/>
          <w:szCs w:val="28"/>
          <w:lang w:val="en-US" w:eastAsia="zh-CN" w:bidi="ar-SA"/>
        </w:rPr>
        <w:t>工作：一是强化组织建设。为“十四五”规划实施和乡村振兴工作提供了强有力的组织保障。二是调整驻村帮扶。向重点村、巩固村、软弱涣散村下派4支乡村振兴驻村工作队，指导帮助村级党组织加强组织建设和发展壮大集体经济。三是开展基层党支部星级创建工作，全面规范“三会一课”、民主评议党员等组织生活开展，落实“四议两公开”制度，持续巩固党支部“五化”建设成果和不断完善整建提质工作要求。四是不断加强学习习近平新时代中国特色社会主义思想和党的二十大精神。</w:t>
      </w:r>
    </w:p>
    <w:p>
      <w:pPr>
        <w:pStyle w:val="5"/>
        <w:keepNext w:val="0"/>
        <w:keepLines w:val="0"/>
        <w:pageBreakBefore w:val="0"/>
        <w:kinsoku/>
        <w:wordWrap/>
        <w:overflowPunct/>
        <w:topLinePunct w:val="0"/>
        <w:autoSpaceDE/>
        <w:autoSpaceDN/>
        <w:bidi w:val="0"/>
        <w:adjustRightInd/>
        <w:snapToGrid/>
        <w:spacing w:before="0" w:beforeAutospacing="0" w:after="0" w:afterAutospacing="0" w:line="580" w:lineRule="exact"/>
        <w:ind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2、意识形态工作：认真开展镇理论中心组学习，特别是加强党的二十大精神的学习和宣传。严格落实意识形态工作责任制要求，切实发挥镇党委主体引导作用，积极推进文明创建工作，利用镇、村宣传栏、电子显示屏、横幅、标语弘扬社会主义核心价值观；积极开展党史学习教育工作、新时代文明实践活动，引导全镇群众树立文明乡风，积极开展“衡阳群众”志愿服务活动，今年以来，我镇累计开展义务献血、疫情防控、森林防火、法制宣传、走访慰问、理论宣讲、老年活动、村民教育、文化活动、科普宣传等新时代文明实践活动113次。</w:t>
      </w:r>
    </w:p>
    <w:p>
      <w:pPr>
        <w:pStyle w:val="5"/>
        <w:keepNext w:val="0"/>
        <w:keepLines w:val="0"/>
        <w:pageBreakBefore w:val="0"/>
        <w:kinsoku/>
        <w:wordWrap/>
        <w:overflowPunct/>
        <w:topLinePunct w:val="0"/>
        <w:autoSpaceDE/>
        <w:autoSpaceDN/>
        <w:bidi w:val="0"/>
        <w:adjustRightInd/>
        <w:snapToGrid/>
        <w:spacing w:before="0" w:beforeAutospacing="0" w:after="0" w:afterAutospacing="0" w:line="580" w:lineRule="exact"/>
        <w:ind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党风廉政建设工作：以市委巡察组反馈问题整改为契机，认真执行中央八项规定，以抓教育、抓制度、抓监督为重点，狠抓党风廉政建设责任制落实，加强机关作风和效能建设，提升了干部队伍素质，转变工作作风，强化服务，进一步把反腐倡廉工作提高到一个新水平。</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（二）项目建设方面</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以推进湘南纺织城产业园环保设施园项目为重点，积极协调矛盾，努力提供良好施工环境，投产后将提供1万余个就业岗位，将大力促进全镇经济发展；大力推进荫田水厂项目建设，目前正在进行管网铺设工作，已完成80%工程量，建成后供水范围辐射常宁东部4个乡镇，将全面解决荫田及周边乡镇农村饮用水安全问题。</w:t>
      </w:r>
    </w:p>
    <w:p>
      <w:pPr>
        <w:pStyle w:val="5"/>
        <w:keepNext w:val="0"/>
        <w:keepLines w:val="0"/>
        <w:pageBreakBefore w:val="0"/>
        <w:kinsoku/>
        <w:wordWrap/>
        <w:overflowPunct/>
        <w:topLinePunct w:val="0"/>
        <w:autoSpaceDE/>
        <w:autoSpaceDN/>
        <w:bidi w:val="0"/>
        <w:adjustRightInd/>
        <w:snapToGrid/>
        <w:spacing w:before="0" w:beforeAutospacing="0" w:after="0" w:afterAutospacing="0" w:line="580" w:lineRule="exact"/>
        <w:ind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（三）农业农村方面</w:t>
      </w:r>
    </w:p>
    <w:p>
      <w:pPr>
        <w:pStyle w:val="5"/>
        <w:keepNext w:val="0"/>
        <w:keepLines w:val="0"/>
        <w:pageBreakBefore w:val="0"/>
        <w:kinsoku/>
        <w:wordWrap/>
        <w:overflowPunct/>
        <w:topLinePunct w:val="0"/>
        <w:autoSpaceDE/>
        <w:autoSpaceDN/>
        <w:bidi w:val="0"/>
        <w:adjustRightInd/>
        <w:snapToGrid/>
        <w:spacing w:before="0" w:beforeAutospacing="0" w:after="0" w:afterAutospacing="0" w:line="580" w:lineRule="exact"/>
        <w:ind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乡村振兴工作。一是落实脱贫攻坚向乡村振兴有效衔接政策。开展脱贫质量集中排查，做好防返贫数据监测，累计排查1597户，4949人，继续落实存在风险人员相关政策。二是深入推进环境卫生综合整治，抓好垃圾分类处理污染处理，日常保洁，乡村绿化，秩序治理等工作，实现村容整洁，环境优美，秩序井然。全镇发放垃圾桶500个，建立一个垃圾集中填埋场，成立环卫队一个，各村聘请成立保洁员队伍人员108人，每天处理垃圾40吨，全年共计投入80万元。三是持续推进拆旧复垦及“空心房”整治工程，农村自建房</w:t>
      </w:r>
      <w:bookmarkStart w:id="0" w:name="OLE_LINK1"/>
      <w:r>
        <w:rPr>
          <w:rFonts w:hint="eastAsia" w:ascii="仿宋" w:hAnsi="仿宋" w:eastAsia="仿宋" w:cs="仿宋"/>
          <w:kern w:val="2"/>
          <w:sz w:val="28"/>
          <w:szCs w:val="28"/>
          <w:lang w:val="en-US" w:eastAsia="zh-CN" w:bidi="ar-SA"/>
        </w:rPr>
        <w:t>安全隐患排查整治</w:t>
      </w:r>
      <w:bookmarkEnd w:id="0"/>
      <w:r>
        <w:rPr>
          <w:rFonts w:hint="eastAsia" w:ascii="仿宋" w:hAnsi="仿宋" w:eastAsia="仿宋" w:cs="仿宋"/>
          <w:kern w:val="2"/>
          <w:sz w:val="28"/>
          <w:szCs w:val="28"/>
          <w:lang w:val="en-US" w:eastAsia="zh-CN" w:bidi="ar-SA"/>
        </w:rPr>
        <w:t>工作稳固推进，共排查房屋12939栋，排查出“空心”闲置危房484栋，已经拆除438栋，围挡警示破败房屋46栋，落实“一户一宅”和“建新拆旧”政策，逐步规范农村宅基地审批。四是推进农村“问题厕所”改造，坚持“群众接受、经济适用、维护方便、不污染公共水体”的原则，因地制宜，持续推进农村“问题厕所”整改，加快农村卫生厕所建设和改造，基本消除旱厕，实现粪污无害化处理。</w:t>
      </w:r>
    </w:p>
    <w:p>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80" w:lineRule="exact"/>
        <w:ind w:firstLine="560" w:firstLineChars="200"/>
        <w:jc w:val="left"/>
        <w:textAlignment w:val="auto"/>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2、农业生产工作。充分利用资源、气候、地理等优势，加快土地流转发展现代农业。油茶林种植7.3万亩，油菜种植21000余亩，年产值1000余万元，烟叶种植2000亩，年产值960余万元，水稻种植24300亩。一是大力推进一村一品方面，双龙村种植迷迭香药材新增100亩，联塘、中山、丰源种植香莲1000亩；二是2022年我镇完成早稻种植2500余亩，丛保、红星、荫市、小泉早稻种植示范片1500余亩。全镇晚稻种植2800亩。中稻种植19000余亩。全镇2022年种粮大户168户，种植面积12000多亩。三是稳定烟叶生产。烟叶种植面积2000余亩，产值约960余万元，预计可实现本级税收120余万元。四是优化营商环境。积极协调解决油茶发林权属纠纷、划界等矛盾，大力维护油茶收摘秩序，油茶企业、合作社、大户流转经营面积4万5千余亩，油茶产业发展势头良好。2022年全镇油茶总面积7.3万亩，营造林面积新增500亩，油茶低改2300亩，森林抚育1000亩。五是大力发展油菜种植产业。以3个油菜千亩高产示范片为引领，2022年全镇油菜种植21000余亩，年产值1000余万元。六是完成生猪存栏40000头，其中存栏母猪1760头，全年鸡、鸭、鹅9.2883万羽。</w:t>
      </w:r>
    </w:p>
    <w:p>
      <w:pPr>
        <w:pStyle w:val="5"/>
        <w:keepNext w:val="0"/>
        <w:keepLines w:val="0"/>
        <w:pageBreakBefore w:val="0"/>
        <w:kinsoku/>
        <w:wordWrap/>
        <w:overflowPunct/>
        <w:topLinePunct w:val="0"/>
        <w:autoSpaceDE/>
        <w:autoSpaceDN/>
        <w:bidi w:val="0"/>
        <w:adjustRightInd/>
        <w:snapToGrid/>
        <w:spacing w:before="0" w:beforeAutospacing="0" w:after="0" w:afterAutospacing="0" w:line="580" w:lineRule="exact"/>
        <w:ind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防汛抗旱工作。积极开展防汛抗旱相关工作，完善修订防汛应急预案进行，确保一有灾情，能够迅速反应，主动应对，针对5月份降雨量大的情况，投入资金100余万元，对18个小二型水库进行除险加固，今年七月份至十一月份干旱以来，我镇组织森林防火巡山人员超过1万余人次、购买消防车及增压水泵等设施资金就有80余万元。严格落实重点区域24小时值守监测等一系列行之有效的防治措施，有效保护人民群众的生命财产安全。</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（四）社会事务方面</w:t>
      </w:r>
    </w:p>
    <w:p>
      <w:pPr>
        <w:keepNext w:val="0"/>
        <w:keepLines w:val="0"/>
        <w:pageBreakBefore w:val="0"/>
        <w:kinsoku/>
        <w:wordWrap/>
        <w:overflowPunct/>
        <w:topLinePunct w:val="0"/>
        <w:autoSpaceDE/>
        <w:autoSpaceDN/>
        <w:bidi w:val="0"/>
        <w:adjustRightInd/>
        <w:snapToGrid/>
        <w:spacing w:before="0" w:beforeAutospacing="0" w:after="0" w:afterAutospacing="0" w:line="580" w:lineRule="exact"/>
        <w:ind w:firstLine="560" w:firstLineChars="200"/>
        <w:jc w:val="both"/>
        <w:textAlignment w:val="auto"/>
        <w:outlineLvl w:val="1"/>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民生社会事务全面发展。严格低保、五保资格审核，认真把关救助资金发放。积极进行走访慰问空巢老人、留守困境儿童等弱势群体，了解他们的基本情况和需求，给他们带去党的关怀和温暖。今年以来累计发放临时救助资金101400余元，走访慰问空巢老人、留守儿童36人次；投入10万余元，为解决敬老院房屋安全进行了改建投入50多万元，让孤寡老人生命健康得到有效保障。</w:t>
      </w:r>
    </w:p>
    <w:p>
      <w:pPr>
        <w:keepNext w:val="0"/>
        <w:keepLines w:val="0"/>
        <w:pageBreakBefore w:val="0"/>
        <w:kinsoku/>
        <w:wordWrap/>
        <w:overflowPunct/>
        <w:topLinePunct w:val="0"/>
        <w:autoSpaceDE/>
        <w:autoSpaceDN/>
        <w:bidi w:val="0"/>
        <w:adjustRightInd/>
        <w:snapToGrid/>
        <w:spacing w:before="0" w:beforeAutospacing="0" w:after="0" w:afterAutospacing="0" w:line="580" w:lineRule="exact"/>
        <w:ind w:firstLine="560" w:firstLineChars="200"/>
        <w:jc w:val="both"/>
        <w:textAlignment w:val="auto"/>
        <w:outlineLvl w:val="1"/>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2、社保、教育、卫生工作更进一步。养老保险、医疗保险参保率持续上升,全镇事实无人抚养儿童28人，发放抚养费296000元。全镇适龄儿童义务教育普及率达100%，小升初升学率100%，在两级毕业会考中成绩斐然，跻身全市乡镇组前列。</w:t>
      </w:r>
    </w:p>
    <w:p>
      <w:pPr>
        <w:pStyle w:val="5"/>
        <w:keepNext w:val="0"/>
        <w:keepLines w:val="0"/>
        <w:pageBreakBefore w:val="0"/>
        <w:kinsoku/>
        <w:wordWrap/>
        <w:overflowPunct/>
        <w:topLinePunct w:val="0"/>
        <w:autoSpaceDE/>
        <w:autoSpaceDN/>
        <w:bidi w:val="0"/>
        <w:adjustRightInd/>
        <w:snapToGrid/>
        <w:spacing w:before="0" w:beforeAutospacing="0" w:after="0" w:afterAutospacing="0" w:line="580" w:lineRule="exact"/>
        <w:ind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（五）综合治理方面</w:t>
      </w:r>
    </w:p>
    <w:p>
      <w:pPr>
        <w:pStyle w:val="5"/>
        <w:keepNext w:val="0"/>
        <w:keepLines w:val="0"/>
        <w:pageBreakBefore w:val="0"/>
        <w:kinsoku/>
        <w:wordWrap/>
        <w:overflowPunct/>
        <w:topLinePunct w:val="0"/>
        <w:autoSpaceDE/>
        <w:autoSpaceDN/>
        <w:bidi w:val="0"/>
        <w:adjustRightInd/>
        <w:snapToGrid/>
        <w:spacing w:before="0" w:beforeAutospacing="0" w:after="0" w:afterAutospacing="0" w:line="580" w:lineRule="exact"/>
        <w:ind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抓实安全生产工作。一是联合多个职能部门开展常态化专项整治行动，全年来，开展安全生产大检查及打非治违行动10余次，出动检查执法人员30余人次，检查生产经营单位80余家。二是在集镇、365国道等重要路口进行常态化巡逻，确保集镇市场开市不通车，通车不开市，严厉打击农用车，三轮车载客，排查无牌无照摩托车100余辆，批评警告500余人，扣押车辆30辆。三是认真开展暑期未成年人防溺水工作，制定工作方案，压实工作责任，镇村干部全面走访各家各户，发放致家长的公开信3000余份，制作竖立警示牌230余个，开展山塘水库巡逻1000余次，道路交通、消防、食品药品等重点领域安全工作得到全面加强。</w:t>
      </w:r>
    </w:p>
    <w:p>
      <w:pPr>
        <w:pStyle w:val="5"/>
        <w:keepNext w:val="0"/>
        <w:keepLines w:val="0"/>
        <w:pageBreakBefore w:val="0"/>
        <w:kinsoku/>
        <w:wordWrap/>
        <w:overflowPunct/>
        <w:topLinePunct w:val="0"/>
        <w:autoSpaceDE/>
        <w:autoSpaceDN/>
        <w:bidi w:val="0"/>
        <w:adjustRightInd/>
        <w:snapToGrid/>
        <w:spacing w:before="0" w:beforeAutospacing="0" w:after="0" w:afterAutospacing="0" w:line="580" w:lineRule="exact"/>
        <w:ind w:firstLine="560" w:firstLineChars="200"/>
        <w:jc w:val="both"/>
        <w:textAlignment w:val="auto"/>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2、抓好禁毒和反电信诈骗工作。一是从讲政治的高度把禁毒列为党委、政府重点工作。加强动态监管，加大宣传，营造氛围，出台禁毒工作管理细则和考核办法，与镇村单位签订禁毒责任状，严格实行镇村“两级管控” 工作责任制和网格化管理，建设社区戒毒（康复）工作站，2022年以来累计在册吸毒人员339人，其中戒断三年未复吸186人，社区戒毒22人，社区康复8人，社会面吸毒史人员60人，羁押3人，强制隔离戒毒10人，死亡4人,参加药物治疗1人。2022年9月对全镇所有公职人员及村、社区两委成员人员进行了毛发检测。 6月25日组织镇机关工作人员实行全员毛发检测，“6.26”国际禁毒日组织“衡阳群众”志愿服务队到集镇开展禁毒法制宣传，悬挂横幅20余条、发放禁毒知识小手册1000余份、广泛宣传扫黑除恶和禁毒工作。二是积极与广东、云南等公安部门加强联系，严厉打击电信诈骗犯罪行为。镇村联动加大对重点要素、行业、领域的监管力度，加强对重点人群动态掌控，充分调动群众参与该项工作的积极性、自觉性，形成全社会参与禁毒和反电信诈骗工作的浓厚氛围。2022年全镇下载国家反电诈APP实名用户数10700人。</w:t>
      </w:r>
    </w:p>
    <w:p>
      <w:pPr>
        <w:pStyle w:val="5"/>
        <w:keepNext w:val="0"/>
        <w:keepLines w:val="0"/>
        <w:pageBreakBefore w:val="0"/>
        <w:kinsoku/>
        <w:wordWrap/>
        <w:overflowPunct/>
        <w:topLinePunct w:val="0"/>
        <w:autoSpaceDE/>
        <w:autoSpaceDN/>
        <w:bidi w:val="0"/>
        <w:adjustRightInd/>
        <w:snapToGrid/>
        <w:spacing w:before="0" w:beforeAutospacing="0" w:after="0" w:afterAutospacing="0" w:line="580" w:lineRule="exact"/>
        <w:ind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抓好信访矛盾化解工作。通过强化源头治理，推动信访积案化解，2022年来共接受社区矫正对象11名，解除1人，化解各类社会矛盾20余起，其中疑难复杂纠纷7起；党的二十大特护期间无出省和赴京上访情况。利用“农村法治宣传月”、“青年法治宣传周”、“宪法宣传周”、“弘扬正气、反对邪教专项法治宣传”和3.15、4.15、5.7、6.26等特定日期，开展了系列普法宣传活动，取得了良好的宣传教育效果；大力推进平安创建工作，开展常态化夜间治安巡逻。全镇综合治理工作有序进行，社会稳定有序发展。</w:t>
      </w:r>
    </w:p>
    <w:p>
      <w:pPr>
        <w:pStyle w:val="5"/>
        <w:keepNext w:val="0"/>
        <w:keepLines w:val="0"/>
        <w:pageBreakBefore w:val="0"/>
        <w:kinsoku/>
        <w:wordWrap/>
        <w:overflowPunct/>
        <w:topLinePunct w:val="0"/>
        <w:autoSpaceDE/>
        <w:autoSpaceDN/>
        <w:bidi w:val="0"/>
        <w:adjustRightInd/>
        <w:snapToGrid/>
        <w:spacing w:before="0" w:beforeAutospacing="0" w:after="0" w:afterAutospacing="0" w:line="580" w:lineRule="exact"/>
        <w:ind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4、抓好常态化疫情防控工作。一是细化摸底排查、强化宣传教育，全面落实广东等重点地区返乡人员摸排“零报告”制度。利用电子显示屏、广播喇叭及流动宣传车等方式加强疫情防控宣传氛围。二是全面落实健康监测，及时上报监测结果。镇村联动对疫区返乡人员全面落实网格化健康监测管理，镇村干部和医护人员主动上门收集体温监测结果，及时反馈情况。三是开展健康监测志愿服务活动，10月8日至12月5日期间，在荫田新大桥设立志愿服务站， 24小时不间断对入常车辆和人员进行查验健康码和行程码，严格落实疫情防控指挥部的相关要求。四是全面推广核酸检测。通过落实防控措施，为人民群众筑牢了生命安全的“防火墙”。</w:t>
      </w:r>
    </w:p>
    <w:p>
      <w:pPr>
        <w:pStyle w:val="5"/>
        <w:keepNext w:val="0"/>
        <w:keepLines w:val="0"/>
        <w:pageBreakBefore w:val="0"/>
        <w:kinsoku/>
        <w:wordWrap/>
        <w:overflowPunct/>
        <w:topLinePunct w:val="0"/>
        <w:autoSpaceDE/>
        <w:autoSpaceDN/>
        <w:bidi w:val="0"/>
        <w:adjustRightInd/>
        <w:snapToGrid/>
        <w:spacing w:before="0" w:beforeAutospacing="0" w:after="0" w:afterAutospacing="0" w:line="580" w:lineRule="exact"/>
        <w:ind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（六）其他方面</w:t>
      </w:r>
    </w:p>
    <w:p>
      <w:pPr>
        <w:pStyle w:val="5"/>
        <w:keepNext w:val="0"/>
        <w:keepLines w:val="0"/>
        <w:pageBreakBefore w:val="0"/>
        <w:kinsoku/>
        <w:wordWrap/>
        <w:overflowPunct/>
        <w:topLinePunct w:val="0"/>
        <w:autoSpaceDE/>
        <w:autoSpaceDN/>
        <w:bidi w:val="0"/>
        <w:adjustRightInd/>
        <w:snapToGrid/>
        <w:spacing w:before="0" w:beforeAutospacing="0" w:after="0" w:afterAutospacing="0" w:line="580" w:lineRule="exact"/>
        <w:ind w:firstLine="560" w:firstLineChars="200"/>
        <w:jc w:val="both"/>
        <w:textAlignment w:val="auto"/>
        <w:rPr>
          <w:rFonts w:hint="eastAsia" w:ascii="仿宋_GB2312" w:hAnsi="仿宋_GB2312" w:eastAsia="仿宋_GB2312" w:cs="仿宋_GB2312"/>
          <w:color w:val="auto"/>
          <w:sz w:val="32"/>
          <w:szCs w:val="32"/>
        </w:rPr>
      </w:pPr>
      <w:r>
        <w:rPr>
          <w:rFonts w:hint="eastAsia" w:ascii="仿宋" w:hAnsi="仿宋" w:eastAsia="仿宋" w:cs="仿宋"/>
          <w:kern w:val="2"/>
          <w:sz w:val="28"/>
          <w:szCs w:val="28"/>
          <w:lang w:val="en-US" w:eastAsia="zh-CN" w:bidi="ar-SA"/>
        </w:rPr>
        <w:t>武装、团委、妇联、老干等各项工作开展顺利。</w:t>
      </w:r>
    </w:p>
    <w:p>
      <w:pPr>
        <w:ind w:firstLine="280" w:firstLineChars="100"/>
        <w:rPr>
          <w:rFonts w:hint="eastAsia" w:ascii="仿宋" w:hAnsi="仿宋" w:eastAsia="仿宋" w:cs="仿宋"/>
          <w:sz w:val="28"/>
          <w:szCs w:val="28"/>
        </w:rPr>
      </w:pPr>
      <w:r>
        <w:rPr>
          <w:rFonts w:hint="eastAsia" w:ascii="仿宋" w:hAnsi="仿宋" w:eastAsia="仿宋" w:cs="仿宋"/>
          <w:sz w:val="28"/>
          <w:szCs w:val="28"/>
        </w:rPr>
        <w:t>二、绩效评价工作情况</w:t>
      </w:r>
    </w:p>
    <w:p>
      <w:pPr>
        <w:ind w:firstLine="420" w:firstLineChars="150"/>
        <w:rPr>
          <w:rFonts w:hint="eastAsia" w:ascii="仿宋" w:hAnsi="仿宋" w:eastAsia="仿宋" w:cs="仿宋"/>
          <w:sz w:val="28"/>
          <w:szCs w:val="28"/>
        </w:rPr>
      </w:pPr>
      <w:r>
        <w:rPr>
          <w:rFonts w:hint="eastAsia" w:ascii="仿宋" w:hAnsi="仿宋" w:eastAsia="仿宋" w:cs="仿宋"/>
          <w:sz w:val="28"/>
          <w:szCs w:val="28"/>
        </w:rPr>
        <w:t>1.绩效评价目的</w:t>
      </w:r>
    </w:p>
    <w:p>
      <w:pPr>
        <w:ind w:firstLine="420" w:firstLineChars="150"/>
        <w:rPr>
          <w:rFonts w:hint="eastAsia" w:ascii="仿宋" w:hAnsi="仿宋" w:eastAsia="仿宋" w:cs="仿宋"/>
          <w:sz w:val="28"/>
          <w:szCs w:val="28"/>
        </w:rPr>
      </w:pPr>
      <w:r>
        <w:rPr>
          <w:rFonts w:hint="eastAsia" w:ascii="仿宋" w:hAnsi="仿宋" w:eastAsia="仿宋" w:cs="仿宋"/>
          <w:sz w:val="28"/>
          <w:szCs w:val="28"/>
        </w:rPr>
        <w:t>本次自评的目的是了解本部门</w:t>
      </w:r>
      <w:r>
        <w:rPr>
          <w:rFonts w:hint="eastAsia" w:ascii="仿宋" w:hAnsi="仿宋" w:eastAsia="仿宋" w:cs="仿宋"/>
          <w:sz w:val="28"/>
          <w:szCs w:val="28"/>
          <w:lang w:val="en-US" w:eastAsia="zh-CN"/>
        </w:rPr>
        <w:t>2022</w:t>
      </w:r>
      <w:r>
        <w:rPr>
          <w:rFonts w:hint="eastAsia" w:ascii="仿宋" w:hAnsi="仿宋" w:eastAsia="仿宋" w:cs="仿宋"/>
          <w:sz w:val="28"/>
          <w:szCs w:val="28"/>
        </w:rPr>
        <w:t>年度财政资金预算支出的绩效状况，为今后预算安排提供决策支持。进一步增强本部门支出管理的责任，优化支出结构，提升预算管理水平，保障更好地履行职责，提高公务服务质量和财政资金使用效益，促进当地经济健康发展。</w:t>
      </w:r>
    </w:p>
    <w:p>
      <w:pPr>
        <w:ind w:firstLine="420" w:firstLineChars="150"/>
        <w:rPr>
          <w:rFonts w:hint="eastAsia" w:ascii="仿宋" w:hAnsi="仿宋" w:eastAsia="仿宋" w:cs="仿宋"/>
          <w:sz w:val="28"/>
          <w:szCs w:val="28"/>
        </w:rPr>
      </w:pPr>
      <w:r>
        <w:rPr>
          <w:rFonts w:hint="eastAsia" w:ascii="仿宋" w:hAnsi="仿宋" w:eastAsia="仿宋" w:cs="仿宋"/>
          <w:sz w:val="28"/>
          <w:szCs w:val="28"/>
        </w:rPr>
        <w:t>2、绩效评价实施过程</w:t>
      </w:r>
    </w:p>
    <w:p>
      <w:pPr>
        <w:ind w:firstLine="420" w:firstLineChars="150"/>
        <w:rPr>
          <w:rFonts w:hint="eastAsia" w:ascii="仿宋" w:hAnsi="仿宋" w:eastAsia="仿宋" w:cs="仿宋"/>
          <w:sz w:val="28"/>
          <w:szCs w:val="28"/>
        </w:rPr>
      </w:pPr>
      <w:r>
        <w:rPr>
          <w:rFonts w:hint="eastAsia" w:ascii="仿宋" w:hAnsi="仿宋" w:eastAsia="仿宋" w:cs="仿宋"/>
          <w:sz w:val="28"/>
          <w:szCs w:val="28"/>
        </w:rPr>
        <w:t xml:space="preserve"> 根据绩效评价的要求，本单位制定了部门支出绩效评价的工作方案、评价指标，成立了绩效评价工作领导小组、绩效评价工作组，对照各实施项目内容逐条逐项自评，在自评过程发现问题查找原因，及时纠正偏差，为下一步工作夯实基础。</w:t>
      </w:r>
    </w:p>
    <w:p>
      <w:pPr>
        <w:ind w:firstLine="420" w:firstLineChars="150"/>
        <w:rPr>
          <w:rFonts w:hint="eastAsia" w:ascii="仿宋" w:hAnsi="仿宋" w:eastAsia="仿宋" w:cs="仿宋"/>
          <w:b/>
          <w:sz w:val="28"/>
          <w:szCs w:val="28"/>
        </w:rPr>
      </w:pPr>
      <w:r>
        <w:rPr>
          <w:rFonts w:hint="eastAsia" w:ascii="仿宋" w:hAnsi="仿宋" w:eastAsia="仿宋" w:cs="仿宋"/>
          <w:sz w:val="28"/>
          <w:szCs w:val="28"/>
        </w:rPr>
        <w:t xml:space="preserve"> </w:t>
      </w:r>
      <w:r>
        <w:rPr>
          <w:rFonts w:hint="eastAsia" w:ascii="仿宋" w:hAnsi="仿宋" w:eastAsia="仿宋" w:cs="仿宋"/>
          <w:b/>
          <w:sz w:val="28"/>
          <w:szCs w:val="28"/>
        </w:rPr>
        <w:t>三、评价结论及建议</w:t>
      </w:r>
    </w:p>
    <w:p>
      <w:pPr>
        <w:ind w:firstLine="420" w:firstLineChars="150"/>
        <w:rPr>
          <w:rFonts w:hint="eastAsia" w:ascii="仿宋" w:hAnsi="仿宋" w:eastAsia="仿宋" w:cs="仿宋"/>
          <w:sz w:val="28"/>
          <w:szCs w:val="28"/>
        </w:rPr>
      </w:pPr>
      <w:r>
        <w:rPr>
          <w:rFonts w:hint="eastAsia" w:ascii="仿宋" w:hAnsi="仿宋" w:eastAsia="仿宋" w:cs="仿宋"/>
          <w:sz w:val="28"/>
          <w:szCs w:val="28"/>
        </w:rPr>
        <w:t>1、评价结论</w:t>
      </w:r>
    </w:p>
    <w:p>
      <w:pPr>
        <w:ind w:firstLine="420" w:firstLineChars="150"/>
        <w:rPr>
          <w:rFonts w:hint="eastAsia" w:ascii="仿宋" w:hAnsi="仿宋" w:eastAsia="仿宋" w:cs="仿宋"/>
          <w:sz w:val="28"/>
          <w:szCs w:val="28"/>
        </w:rPr>
      </w:pPr>
      <w:r>
        <w:rPr>
          <w:rFonts w:hint="eastAsia" w:ascii="仿宋" w:hAnsi="仿宋" w:eastAsia="仿宋" w:cs="仿宋"/>
          <w:sz w:val="28"/>
          <w:szCs w:val="28"/>
          <w:lang w:eastAsia="zh-CN"/>
        </w:rPr>
        <w:t>2022</w:t>
      </w:r>
      <w:r>
        <w:rPr>
          <w:rFonts w:hint="eastAsia" w:ascii="仿宋" w:hAnsi="仿宋" w:eastAsia="仿宋" w:cs="仿宋"/>
          <w:sz w:val="28"/>
          <w:szCs w:val="28"/>
        </w:rPr>
        <w:t>年，我镇及时、准确、优质地完成预算编制；预算执行情况良好，支出管理规范，未出现因违规支出受到相关监督部门批评或处理的情况；资金管理制度较为完善，会计核算和账务处理规范，会计资料完整；项目开支依据和标准符合相关规定，实施过程中能够严格执行有关制度规定，按目标数量及质量按时完工，基本实现了项目设计功能，受益群体满意度高；工作中密切联系群众、服务群众，积极妥善处理群众来信来访，化解社会矛盾，加强机关自身建设和党风廉政建设。</w:t>
      </w:r>
    </w:p>
    <w:p>
      <w:pPr>
        <w:ind w:firstLine="420" w:firstLineChars="150"/>
        <w:rPr>
          <w:rFonts w:hint="eastAsia" w:ascii="仿宋" w:hAnsi="仿宋" w:eastAsia="仿宋" w:cs="仿宋"/>
          <w:sz w:val="28"/>
          <w:szCs w:val="28"/>
        </w:rPr>
      </w:pPr>
      <w:r>
        <w:rPr>
          <w:rFonts w:hint="eastAsia" w:ascii="仿宋" w:hAnsi="仿宋" w:eastAsia="仿宋" w:cs="仿宋"/>
          <w:sz w:val="28"/>
          <w:szCs w:val="28"/>
        </w:rPr>
        <w:t>2、存在的问题</w:t>
      </w:r>
    </w:p>
    <w:p>
      <w:pPr>
        <w:ind w:firstLine="420" w:firstLineChars="150"/>
        <w:rPr>
          <w:rFonts w:hint="eastAsia" w:ascii="仿宋" w:hAnsi="仿宋" w:eastAsia="仿宋" w:cs="仿宋"/>
          <w:sz w:val="28"/>
          <w:szCs w:val="28"/>
        </w:rPr>
      </w:pPr>
      <w:r>
        <w:rPr>
          <w:rFonts w:hint="eastAsia" w:ascii="仿宋" w:hAnsi="仿宋" w:eastAsia="仿宋" w:cs="仿宋"/>
          <w:sz w:val="28"/>
          <w:szCs w:val="28"/>
        </w:rPr>
        <w:t>在资金使用计划和进度上有待进一步加强。</w:t>
      </w:r>
    </w:p>
    <w:p>
      <w:pPr>
        <w:ind w:firstLine="420" w:firstLineChars="150"/>
        <w:rPr>
          <w:rFonts w:hint="eastAsia" w:ascii="仿宋" w:hAnsi="仿宋" w:eastAsia="仿宋" w:cs="仿宋"/>
          <w:sz w:val="28"/>
          <w:szCs w:val="28"/>
        </w:rPr>
      </w:pPr>
      <w:r>
        <w:rPr>
          <w:rFonts w:hint="eastAsia" w:ascii="仿宋" w:hAnsi="仿宋" w:eastAsia="仿宋" w:cs="仿宋"/>
          <w:sz w:val="28"/>
          <w:szCs w:val="28"/>
        </w:rPr>
        <w:t>3、建议</w:t>
      </w:r>
    </w:p>
    <w:p>
      <w:pPr>
        <w:ind w:firstLine="420" w:firstLineChars="150"/>
        <w:rPr>
          <w:rFonts w:hint="eastAsia" w:ascii="仿宋" w:hAnsi="仿宋" w:eastAsia="仿宋" w:cs="仿宋"/>
          <w:sz w:val="28"/>
          <w:szCs w:val="28"/>
        </w:rPr>
      </w:pPr>
      <w:r>
        <w:rPr>
          <w:rFonts w:hint="eastAsia" w:ascii="仿宋" w:hAnsi="仿宋" w:eastAsia="仿宋" w:cs="仿宋"/>
          <w:color w:val="000000"/>
          <w:kern w:val="0"/>
          <w:sz w:val="28"/>
          <w:szCs w:val="28"/>
        </w:rPr>
        <w:t>上级财政在项目专项资金的审批上，能最大程度的加快审批时间</w:t>
      </w:r>
      <w:r>
        <w:rPr>
          <w:rFonts w:hint="eastAsia" w:ascii="仿宋" w:hAnsi="仿宋" w:eastAsia="仿宋" w:cs="仿宋"/>
          <w:sz w:val="28"/>
          <w:szCs w:val="28"/>
        </w:rPr>
        <w:t>。</w:t>
      </w:r>
    </w:p>
    <w:p>
      <w:pPr>
        <w:rPr>
          <w:rFonts w:hint="eastAsia" w:ascii="仿宋" w:hAnsi="仿宋" w:eastAsia="仿宋" w:cs="仿宋"/>
          <w:sz w:val="28"/>
          <w:szCs w:val="28"/>
        </w:rPr>
      </w:pPr>
    </w:p>
    <w:p>
      <w:pPr>
        <w:ind w:firstLine="5320" w:firstLineChars="1900"/>
        <w:rPr>
          <w:rFonts w:hint="eastAsia" w:ascii="仿宋" w:hAnsi="仿宋" w:eastAsia="仿宋" w:cs="仿宋"/>
          <w:sz w:val="28"/>
          <w:szCs w:val="28"/>
        </w:rPr>
      </w:pPr>
      <w:r>
        <w:rPr>
          <w:rFonts w:hint="eastAsia" w:ascii="仿宋" w:hAnsi="仿宋" w:eastAsia="仿宋" w:cs="仿宋"/>
          <w:sz w:val="28"/>
          <w:szCs w:val="28"/>
        </w:rPr>
        <w:t>常宁市荫田镇人民政府</w:t>
      </w:r>
    </w:p>
    <w:p>
      <w:pPr>
        <w:ind w:firstLine="5600" w:firstLineChars="2000"/>
        <w:rPr>
          <w:rFonts w:hint="eastAsia" w:ascii="仿宋" w:hAnsi="仿宋" w:eastAsia="仿宋" w:cs="仿宋"/>
          <w:sz w:val="28"/>
          <w:szCs w:val="28"/>
        </w:rPr>
      </w:pPr>
      <w:r>
        <w:rPr>
          <w:rFonts w:hint="eastAsia" w:ascii="仿宋" w:hAnsi="仿宋" w:eastAsia="仿宋" w:cs="仿宋"/>
          <w:sz w:val="28"/>
          <w:szCs w:val="28"/>
        </w:rPr>
        <w:t>20</w:t>
      </w:r>
      <w:r>
        <w:rPr>
          <w:rFonts w:hint="eastAsia" w:ascii="仿宋" w:hAnsi="仿宋" w:eastAsia="仿宋" w:cs="仿宋"/>
          <w:sz w:val="28"/>
          <w:szCs w:val="28"/>
          <w:lang w:val="en-US" w:eastAsia="zh-CN"/>
        </w:rPr>
        <w:t>23</w:t>
      </w:r>
      <w:r>
        <w:rPr>
          <w:rFonts w:hint="eastAsia" w:ascii="仿宋" w:hAnsi="仿宋" w:eastAsia="仿宋" w:cs="仿宋"/>
          <w:sz w:val="28"/>
          <w:szCs w:val="28"/>
        </w:rPr>
        <w:t>年</w:t>
      </w:r>
      <w:r>
        <w:rPr>
          <w:rFonts w:hint="eastAsia" w:ascii="仿宋" w:hAnsi="仿宋" w:eastAsia="仿宋" w:cs="仿宋"/>
          <w:sz w:val="28"/>
          <w:szCs w:val="28"/>
          <w:lang w:val="en-US" w:eastAsia="zh-CN"/>
        </w:rPr>
        <w:t>8</w:t>
      </w:r>
      <w:r>
        <w:rPr>
          <w:rFonts w:hint="eastAsia" w:ascii="仿宋" w:hAnsi="仿宋" w:eastAsia="仿宋" w:cs="仿宋"/>
          <w:sz w:val="28"/>
          <w:szCs w:val="28"/>
        </w:rPr>
        <w:t>月</w:t>
      </w:r>
      <w:r>
        <w:rPr>
          <w:rFonts w:hint="eastAsia" w:ascii="仿宋" w:hAnsi="仿宋" w:eastAsia="仿宋" w:cs="仿宋"/>
          <w:sz w:val="28"/>
          <w:szCs w:val="28"/>
          <w:lang w:val="en-US" w:eastAsia="zh-CN"/>
        </w:rPr>
        <w:t>29</w:t>
      </w:r>
      <w:r>
        <w:rPr>
          <w:rFonts w:hint="eastAsia" w:ascii="仿宋" w:hAnsi="仿宋" w:eastAsia="仿宋" w:cs="仿宋"/>
          <w:sz w:val="28"/>
          <w:szCs w:val="28"/>
        </w:rPr>
        <w:t>日</w:t>
      </w: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JjNmQxYjM4ZTM0ZjAwY2E5MzIxZDk1YTRhNGQ1OTQifQ=="/>
  </w:docVars>
  <w:rsids>
    <w:rsidRoot w:val="002E54A2"/>
    <w:rsid w:val="00077BBC"/>
    <w:rsid w:val="000E592F"/>
    <w:rsid w:val="00113345"/>
    <w:rsid w:val="00120FDF"/>
    <w:rsid w:val="00122563"/>
    <w:rsid w:val="001357AB"/>
    <w:rsid w:val="00172C83"/>
    <w:rsid w:val="00173193"/>
    <w:rsid w:val="001869EA"/>
    <w:rsid w:val="001A0F7A"/>
    <w:rsid w:val="001B76B5"/>
    <w:rsid w:val="001D1C1F"/>
    <w:rsid w:val="00200FB7"/>
    <w:rsid w:val="00225045"/>
    <w:rsid w:val="002264E1"/>
    <w:rsid w:val="0024418F"/>
    <w:rsid w:val="0029283B"/>
    <w:rsid w:val="002A2097"/>
    <w:rsid w:val="002B3469"/>
    <w:rsid w:val="002E07A9"/>
    <w:rsid w:val="002E54A2"/>
    <w:rsid w:val="003178A0"/>
    <w:rsid w:val="00391E9B"/>
    <w:rsid w:val="003B6D0A"/>
    <w:rsid w:val="003D7B8D"/>
    <w:rsid w:val="00430269"/>
    <w:rsid w:val="004362B4"/>
    <w:rsid w:val="004513CF"/>
    <w:rsid w:val="004559DC"/>
    <w:rsid w:val="00477374"/>
    <w:rsid w:val="004907C9"/>
    <w:rsid w:val="004C091B"/>
    <w:rsid w:val="004D7767"/>
    <w:rsid w:val="004F6271"/>
    <w:rsid w:val="00521F32"/>
    <w:rsid w:val="00526B19"/>
    <w:rsid w:val="00544889"/>
    <w:rsid w:val="00572930"/>
    <w:rsid w:val="0058048C"/>
    <w:rsid w:val="00626E81"/>
    <w:rsid w:val="0065299E"/>
    <w:rsid w:val="006560E2"/>
    <w:rsid w:val="00693BD7"/>
    <w:rsid w:val="006960E2"/>
    <w:rsid w:val="006D5C3D"/>
    <w:rsid w:val="006E611A"/>
    <w:rsid w:val="00735440"/>
    <w:rsid w:val="007657C1"/>
    <w:rsid w:val="007B520E"/>
    <w:rsid w:val="008263EB"/>
    <w:rsid w:val="0082652B"/>
    <w:rsid w:val="00852D6F"/>
    <w:rsid w:val="0086329B"/>
    <w:rsid w:val="00865A06"/>
    <w:rsid w:val="00875EDA"/>
    <w:rsid w:val="009B54D5"/>
    <w:rsid w:val="009F0826"/>
    <w:rsid w:val="00A06722"/>
    <w:rsid w:val="00A44A23"/>
    <w:rsid w:val="00A7183A"/>
    <w:rsid w:val="00AE43D5"/>
    <w:rsid w:val="00B12BF3"/>
    <w:rsid w:val="00B47B35"/>
    <w:rsid w:val="00B974B9"/>
    <w:rsid w:val="00BA0981"/>
    <w:rsid w:val="00BA2C21"/>
    <w:rsid w:val="00C220CB"/>
    <w:rsid w:val="00C60701"/>
    <w:rsid w:val="00CC3A06"/>
    <w:rsid w:val="00CE1E6C"/>
    <w:rsid w:val="00CF32C5"/>
    <w:rsid w:val="00D05C18"/>
    <w:rsid w:val="00D15631"/>
    <w:rsid w:val="00E45DA3"/>
    <w:rsid w:val="00E56277"/>
    <w:rsid w:val="00F16426"/>
    <w:rsid w:val="00F37420"/>
    <w:rsid w:val="00F95012"/>
    <w:rsid w:val="0247005F"/>
    <w:rsid w:val="06F416CC"/>
    <w:rsid w:val="074A7231"/>
    <w:rsid w:val="0AC22427"/>
    <w:rsid w:val="13661B1F"/>
    <w:rsid w:val="18F36CB9"/>
    <w:rsid w:val="1E8E3000"/>
    <w:rsid w:val="25C5559D"/>
    <w:rsid w:val="2699443C"/>
    <w:rsid w:val="2E5F13C2"/>
    <w:rsid w:val="2FB60E27"/>
    <w:rsid w:val="352329DB"/>
    <w:rsid w:val="36AD4F1F"/>
    <w:rsid w:val="3A9D54C1"/>
    <w:rsid w:val="3F8B79BB"/>
    <w:rsid w:val="3FD279CD"/>
    <w:rsid w:val="428F4533"/>
    <w:rsid w:val="44AA5116"/>
    <w:rsid w:val="47240485"/>
    <w:rsid w:val="4AAE3B3B"/>
    <w:rsid w:val="531641CF"/>
    <w:rsid w:val="532F1C75"/>
    <w:rsid w:val="5FEA53F6"/>
    <w:rsid w:val="601F398B"/>
    <w:rsid w:val="609B529E"/>
    <w:rsid w:val="6135170E"/>
    <w:rsid w:val="657A075F"/>
    <w:rsid w:val="68E13D28"/>
    <w:rsid w:val="6F6E4B07"/>
    <w:rsid w:val="70CA4B1C"/>
    <w:rsid w:val="72337571"/>
    <w:rsid w:val="72BB632A"/>
    <w:rsid w:val="7D084586"/>
    <w:rsid w:val="7DD63B9F"/>
    <w:rsid w:val="7E8200C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qFormat="1" w:uiPriority="99" w:semiHidden="0" w:name="Balloon Text"/>
    <w:lsdException w:unhideWhenUsed="0" w:uiPriority="0" w:semiHidden="0" w:name="Table Grid" w:locked="1"/>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unhideWhenUsed/>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0"/>
    <w:unhideWhenUsed/>
    <w:qFormat/>
    <w:uiPriority w:val="99"/>
    <w:rPr>
      <w:rFonts w:ascii="Times New Roman" w:hAnsi="Times New Roman"/>
      <w:sz w:val="18"/>
      <w:szCs w:val="18"/>
    </w:rPr>
  </w:style>
  <w:style w:type="paragraph" w:styleId="3">
    <w:name w:val="footer"/>
    <w:basedOn w:val="1"/>
    <w:link w:val="11"/>
    <w:qFormat/>
    <w:uiPriority w:val="99"/>
    <w:pPr>
      <w:tabs>
        <w:tab w:val="center" w:pos="4153"/>
        <w:tab w:val="right" w:pos="8306"/>
      </w:tabs>
      <w:snapToGrid w:val="0"/>
      <w:jc w:val="left"/>
    </w:pPr>
    <w:rPr>
      <w:rFonts w:ascii="Times New Roman" w:hAnsi="Times New Roman"/>
      <w:kern w:val="0"/>
      <w:sz w:val="18"/>
      <w:szCs w:val="18"/>
    </w:rPr>
  </w:style>
  <w:style w:type="paragraph" w:styleId="4">
    <w:name w:val="header"/>
    <w:basedOn w:val="1"/>
    <w:link w:val="12"/>
    <w:qFormat/>
    <w:uiPriority w:val="99"/>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5">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character" w:styleId="8">
    <w:name w:val="Strong"/>
    <w:basedOn w:val="7"/>
    <w:qFormat/>
    <w:locked/>
    <w:uiPriority w:val="0"/>
    <w:rPr>
      <w:b/>
    </w:rPr>
  </w:style>
  <w:style w:type="character" w:styleId="9">
    <w:name w:val="Hyperlink"/>
    <w:basedOn w:val="7"/>
    <w:unhideWhenUsed/>
    <w:qFormat/>
    <w:uiPriority w:val="99"/>
    <w:rPr>
      <w:color w:val="000000"/>
      <w:u w:val="none"/>
    </w:rPr>
  </w:style>
  <w:style w:type="character" w:customStyle="1" w:styleId="10">
    <w:name w:val="批注框文本 Char"/>
    <w:link w:val="2"/>
    <w:semiHidden/>
    <w:qFormat/>
    <w:uiPriority w:val="99"/>
    <w:rPr>
      <w:rFonts w:cs="Times New Roman"/>
      <w:kern w:val="2"/>
      <w:sz w:val="18"/>
      <w:szCs w:val="18"/>
    </w:rPr>
  </w:style>
  <w:style w:type="character" w:customStyle="1" w:styleId="11">
    <w:name w:val="页脚 Char"/>
    <w:link w:val="3"/>
    <w:qFormat/>
    <w:locked/>
    <w:uiPriority w:val="99"/>
    <w:rPr>
      <w:rFonts w:cs="Times New Roman"/>
      <w:sz w:val="18"/>
      <w:szCs w:val="18"/>
    </w:rPr>
  </w:style>
  <w:style w:type="character" w:customStyle="1" w:styleId="12">
    <w:name w:val="页眉 Char"/>
    <w:link w:val="4"/>
    <w:qFormat/>
    <w:locked/>
    <w:uiPriority w:val="99"/>
    <w:rPr>
      <w:rFonts w:cs="Times New Roman"/>
      <w:sz w:val="18"/>
      <w:szCs w:val="18"/>
    </w:rPr>
  </w:style>
  <w:style w:type="paragraph" w:customStyle="1" w:styleId="13">
    <w:name w:val="List Paragraph1"/>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5354</Words>
  <Characters>5699</Characters>
  <Lines>22</Lines>
  <Paragraphs>6</Paragraphs>
  <TotalTime>10</TotalTime>
  <ScaleCrop>false</ScaleCrop>
  <LinksUpToDate>false</LinksUpToDate>
  <CharactersWithSpaces>5711</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2019-06-17T10:02:00Z</dcterms:created>
  <dc:creator>Administrator</dc:creator>
  <cp:lastModifiedBy>蒋阔</cp:lastModifiedBy>
  <cp:lastPrinted>2021-03-07T07:08:00Z</cp:lastPrinted>
  <dcterms:modified xsi:type="dcterms:W3CDTF">2026-06-26T00:56:35Z</dcterms:modified>
  <dc:title>板桥镇人民政府2016年预算支出绩效评价报     告</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8C98E6E2338F4E118E0BA07C84DB27F9_13</vt:lpwstr>
  </property>
</Properties>
</file>